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1a57f6dde4d45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21797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CENTAR ZA REHABILITACIJU JOSIPOVAC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968.063,94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1.087.660,07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1.027.173,56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1.067.314,07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20.346,00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14.528,39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14.528,39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10.007,77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10.338,23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Ustanova je u izvještajnom razdoblju ostvarila 12% više </w:t>
      </w:r>
      <w:r>
        <w:rPr>
          <w:b/>
        </w:rPr>
        <w:t xml:space="preserve">prihoda </w:t>
      </w:r>
      <w:r>
        <w:t xml:space="preserve">u odnosu na izvještajno razdoblje prethodne godine odnosno u visini od</w:t>
      </w:r>
      <w:r>
        <w:rPr>
          <w:b/>
        </w:rPr>
        <w:t xml:space="preserve">1.087.660,07 EUR </w:t>
      </w:r>
      <w:r>
        <w:t xml:space="preserve">iz sljedećih izvora financiranja:</w:t>
      </w:r>
    </w:p>
    <w:p>
      <w:r>
        <w:t xml:space="preserve">11 - Opći prihodi i primici koji su u izvještajnom razdoblju veći u odnosu na prethodnu godinu za 10% prvenstveno zbog povećanja cijena robe i usluga za čije podmirenje se ostvaruju prihodi iz državnog proračuna;</w:t>
      </w:r>
    </w:p>
    <w:p>
      <w:r>
        <w:t xml:space="preserve">31 - Vlastiti prihodi koji se ostvaruju prodajom proizvoda nastalih u sklopu radne okupacije korisnika koji su u odnosu na prethodnu godinu povećani za 35% te prodajom usluga toplog obroka djelatnicima koji su u odnosu na prethodno razdoblje smanjeni za 27%;</w:t>
      </w:r>
    </w:p>
    <w:p>
      <w:r>
        <w:t xml:space="preserve">43 - Ostali prihodi za posebne namjene - prihodi koji se ostvaruju sudjelovanjem korisnika u podmirenju cijene usluge smještaja odnosno boravka koji su u odnosu na prethodnu godinu povećani za 10% prvenstveno zbog povećanja mirovina korisnika kao i povećanog sudjelovanja korisnika u podmirenju cijene usluge;</w:t>
      </w:r>
    </w:p>
    <w:p>
      <w:r>
        <w:t xml:space="preserve">52 - Ostale pomoći i darovnice kojim se financiranju projekti "Zaposlenjem do kvalitetnije skrbi" i "Korak uz korak" koji su povećani u odnosu na prethodnu godinu za 70% zahvaljujući povećanju financijske pomoći Županije dubrovačko-neretvanske te dodatno sudjelovanjem u projektu Općine Župa dubrovačka i Konavle;</w:t>
      </w:r>
    </w:p>
    <w:p>
      <w:r>
        <w:t xml:space="preserve">62 - Donacije od fizičkih i pravnih osoba koje su povećanje za 13% u odnosu na izvještajno razdoblje prethodne godine.</w:t>
      </w:r>
    </w:p>
    <w:p>
      <w:r>
        <w:t xml:space="preserve"> </w:t>
      </w:r>
    </w:p>
    <w:p>
      <w:r>
        <w:rPr>
          <w:b/>
        </w:rPr>
        <w:t xml:space="preserve">Rashodi su ostvareni </w:t>
      </w:r>
      <w:r>
        <w:t xml:space="preserve">u visini od </w:t>
      </w:r>
      <w:r>
        <w:rPr>
          <w:b/>
        </w:rPr>
        <w:t xml:space="preserve">1.067.314,07 EUR</w:t>
      </w:r>
      <w:r>
        <w:t xml:space="preserve"> što je oko 4% više u odnosu na izvještajno razdoblje prethodne godine. Povećanje cijena roba i usluga uslijed utjecaja inflacije u RH, povećanje cijene energenata, povećanog broja edukacija djelatnika i odlazaka na službena putovanja (Akademija za socijalni rad, razni tečajevi i stručna usavršavanja i sl.), povećanje rashoda za usluge kao npr. usluge za tekuće i investicijsko održavanje i slično utjecali su na povećanje ukupnih rashoda.</w:t>
      </w:r>
    </w:p>
    <w:p>
      <w:r>
        <w:t xml:space="preserve"> </w:t>
      </w:r>
    </w:p>
    <w:p>
      <w:r>
        <w:t xml:space="preserve">U odnosu na prethodnu godinu, ustanova je nabavila </w:t>
      </w:r>
      <w:r>
        <w:rPr>
          <w:b/>
        </w:rPr>
        <w:t xml:space="preserve">nefinancijsku imovinu </w:t>
      </w:r>
      <w:r>
        <w:t xml:space="preserve">u visini od </w:t>
      </w:r>
      <w:r>
        <w:rPr>
          <w:b/>
        </w:rPr>
        <w:t xml:space="preserve">10.007,77</w:t>
      </w:r>
      <w:r>
        <w:t xml:space="preserve"> EUR što predstavlja povećanje od 20%. Kupljena su dva klima uređaja ukupne vrijednosti od 2.612,50 EUR (QTerm 5,4-5,8 kw inverter vrijednosti 1.537,50 EUR te AZURI inverter 3,2-3,4 kw vrijednosti 1.075,00 EUR), nabavljena su 4 nova mini Taurus kreveta za korisnike ukupne vrijednosti 4.276,52 EUR, hladnjak 455 litara inox vrijednosti 1.737,50 EUR, štapni mikser za miksanje hrane korisnika u vrijednosti od 712,50 EUR te vaga s platformom 300 kg za mjerenje tjelesne težine korisnika u vrijednosti od 668,75 EUR.</w:t>
      </w:r>
    </w:p>
    <w:p>
      <w:r>
        <w:t xml:space="preserve">Procjena je da će se manjak prihoda od nefinancijske imovine nastao na izvoru 61 (donacije) do kraja tekuće godine podmiriti iz ostvarenih prihoda na kapitalnim donacijama.</w:t>
      </w:r>
    </w:p>
    <w:p>
      <w:r>
        <w:t xml:space="preserve"> </w:t>
      </w:r>
    </w:p>
    <w:p>
      <w:r>
        <w:t xml:space="preserve">Ukupno ostvareni </w:t>
      </w:r>
      <w:r>
        <w:rPr>
          <w:b/>
        </w:rPr>
        <w:t xml:space="preserve">višak prihoda i primitaka</w:t>
      </w:r>
      <w:r>
        <w:t xml:space="preserve"> poslovanja u izvještajnom razdoblju iznosi </w:t>
      </w:r>
      <w:r>
        <w:rPr>
          <w:b/>
        </w:rPr>
        <w:t xml:space="preserve">10.338,23 EUR</w:t>
      </w:r>
      <w:r>
        <w:t xml:space="preserve"> što zajedno s prenijetim viškom iz prethodne godine u visini od 10.808,74 EUR iznosi 21.146,97 EUR viška prihoda i primitaka raspoloživ u sljedećem razdoblju.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28.432,24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48.414,00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170,3</w:t>
            </w:r>
          </w:p>
        </w:tc>
      </w:tr>
    </w:tbl>
    <w:p>
      <w:pPr>
        <w:spacing w:before="0" w:after="0"/>
      </w:pPr>
    </w:p>
    <w:p>
      <w:r>
        <w:t xml:space="preserve">Povećanje od 70% pomoći primljenih za projekt "Zaposlenjem do kvalitetnije skrbi" i projekt "Korak uz korak" koji se provode u ustanovi ostvaren je zahvaljujući sudjelovanju JLP(R)S u njihovom financiranju. </w:t>
      </w:r>
    </w:p>
    <w:p>
      <w:r>
        <w:t xml:space="preserve">Početkom 2026. godine potpisani su ugovori o sufinanciranju s Gradom Dubrovnikom na ukupan iznos od 20.595,00 ERU i Županijom dubrovačko-neretvanskom na iznos od 20.000,00 EUR što predstavlja veći iznos dodijeljenih sredstava od prethodne godine, a oboje redovito sudjeluju u financiranju predmetnih projekata. U tekućoj godini u projekt su uključene i nove općine - Općina Župa dubrovačka koja sudjeluje s iznosom od 4.819,00 EUR te Općina Konavle s iznosom od 3.000,00 EUR što je sve dovelo do znatnog povećanja primljenih pomoći.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 (šifre 6614+6615)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6.446,50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8.146,10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126,4</w:t>
            </w:r>
          </w:p>
        </w:tc>
      </w:tr>
    </w:tbl>
    <w:p>
      <w:pPr>
        <w:spacing w:before="0" w:after="0"/>
      </w:pPr>
    </w:p>
    <w:p>
      <w:r>
        <w:t xml:space="preserve">Organizacijom većeg broja prodajnih izložbi cvijeća, ukrasnih proizvoda i uskršnjih dekoracija kojim se ostvaruju navedeni prihodi dovelo je do povećanja prihoda od prodaje vlastitih proizvoda u odnosu na izvještajno razdoblje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951,60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696,80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73,2</w:t>
            </w:r>
          </w:p>
        </w:tc>
      </w:tr>
    </w:tbl>
    <w:p>
      <w:pPr>
        <w:spacing w:before="0" w:after="0"/>
      </w:pPr>
    </w:p>
    <w:p>
      <w:r>
        <w:t xml:space="preserve">Do smanjenja prihoda od toplog obroka koji djelatnici koriste u ustanovi došlo je zbog promjene njihovih prehrambenih navika kao i korištenja bolovanja radnika koji su navedenu uslugu i koristili.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17.842,11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22.018,78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123,4</w:t>
            </w:r>
          </w:p>
        </w:tc>
      </w:tr>
    </w:tbl>
    <w:p>
      <w:pPr>
        <w:spacing w:before="0" w:after="0"/>
      </w:pPr>
    </w:p>
    <w:p>
      <w:r>
        <w:t xml:space="preserve">Donacije građana koji umjesto kupnje cvijeća i vijenaca za preminule ili u spomen na svoje najmilije te prilikom vjerskih blagdana uplaćuju financijska sredstva na račun naše ustanove čine znatan dio ostvarenih prihoda naše ustanove.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prekovremeni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7.887,43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15.082,34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191,2</w:t>
            </w:r>
          </w:p>
        </w:tc>
      </w:tr>
    </w:tbl>
    <w:p>
      <w:pPr>
        <w:spacing w:before="0" w:after="0"/>
      </w:pPr>
    </w:p>
    <w:p>
      <w:r>
        <w:t xml:space="preserve">Zbog korištenja porodiljih/rodiljnih dopusta, bolovanja i drugih opravdanih izostanaka s posla radnika na Odjelu njege i brige o zdravlju te nemogućnosti organiziranja smjena/turnusa s postojećim brojem djelatnika bez prekovremenog rada, došlo je do povećanja predmetnih rashoda. Takođe, promjena i samog načina isplate prekovremenog rada od strane nadležnog Ministarstva (bez čekanja odobrenja za isplatom prekovremenog rada) koja je započela u veljači tekuće godine utjecala je na povećanje predmetnog indeksa.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29.907,21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18.905,86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63,2</w:t>
            </w:r>
          </w:p>
        </w:tc>
      </w:tr>
    </w:tbl>
    <w:p>
      <w:pPr>
        <w:spacing w:before="0" w:after="0"/>
      </w:pPr>
    </w:p>
    <w:p>
      <w:r>
        <w:t xml:space="preserve">Za razliku od prethodne godine kada je osim jubilarnih nagrada, pomoći i drugih naknada za zaposlene isplaćena i otpremnina za odlazak u zasluženu mirovinu njegovateljice, u tekućem razdoblju nije bilo djelatnika kojima se isplaćivala otpremnina što je utjecalo na smanjenje predmetnog indeksa.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2.722,65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6.224,91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228,6</w:t>
            </w:r>
          </w:p>
        </w:tc>
      </w:tr>
    </w:tbl>
    <w:p>
      <w:pPr>
        <w:spacing w:before="0" w:after="0"/>
      </w:pPr>
    </w:p>
    <w:p>
      <w:r>
        <w:t xml:space="preserve">Odlasci na stručne edukacije, tečajeve, radne sastanke i edukacije Akademije za socijalni rad utjecali su na povećanje troškova službenih putovanja. Prostorna udaljenosti Dubrovnika i Zagreba u kojemu su edukacije najčešće organizirane te povećanje troškova energenata značajan su faktor koji utječu na povećanje troškova službenih putovanja.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904,75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1.778,50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196,6</w:t>
            </w:r>
          </w:p>
        </w:tc>
      </w:tr>
    </w:tbl>
    <w:p>
      <w:pPr>
        <w:spacing w:before="0" w:after="0"/>
      </w:pPr>
    </w:p>
    <w:p>
      <w:r>
        <w:t xml:space="preserve">Tijekom izvještajnog razdoblja djelatnici ustanove su bili na stručnim edukacijama koje su nužne za održavanje licenci za rad, a za koje su plaćene kotizacije te su također sudjelovali i na edukacijama / tečajevima potrebnim za što kvalitetniji rad s korisnicima što je dovelo do povećanja indeksa u odnosu na izvještajno razdoblje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50.921,47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61.614,56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121,0</w:t>
            </w:r>
          </w:p>
        </w:tc>
      </w:tr>
    </w:tbl>
    <w:p>
      <w:pPr>
        <w:spacing w:before="0" w:after="0"/>
      </w:pPr>
    </w:p>
    <w:p>
      <w:r>
        <w:t xml:space="preserve">Povećanje troškova energenata uslijed krize na Bliskom istoku kao i rastuća inflacija u RH znatno su utjecali na povećanje svih cijena roba/usluga u tekućem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30.505,75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37.094,48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121,6</w:t>
            </w:r>
          </w:p>
        </w:tc>
      </w:tr>
    </w:tbl>
    <w:p>
      <w:pPr>
        <w:spacing w:before="0" w:after="0"/>
      </w:pPr>
    </w:p>
    <w:p>
      <w:r>
        <w:t xml:space="preserve">Do povećanja rashoda za energiju došlo je najvećim dijelom zbog krize uzrokovane ratom na Bliskom istoku i povećanjem cijena svih vrsta energenata.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5.299,76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11.659,89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220,0</w:t>
            </w:r>
          </w:p>
        </w:tc>
      </w:tr>
    </w:tbl>
    <w:p>
      <w:pPr>
        <w:spacing w:before="0" w:after="0"/>
      </w:pPr>
    </w:p>
    <w:p>
      <w:r>
        <w:t xml:space="preserve">Tijekom izvještajnog razdoblja ustanova je kupila nove madrace za korisnike, plahte, noćne ormariće, televiziju, motornu pilu, školske stolice, tlakomjer i dr. sitni inventar te je dobila i vrijedne donacije ručnika i jastuka od Jadranskih luksuznih hotela te stolove/stolice ljuljačke roditelja Dječjeg vrtića Palčica.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Službena, radna i zaštitna odjeća i obuća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691,82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334,31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48,3</w:t>
            </w:r>
          </w:p>
        </w:tc>
      </w:tr>
    </w:tbl>
    <w:p>
      <w:pPr>
        <w:spacing w:before="0" w:after="0"/>
      </w:pPr>
    </w:p>
    <w:p>
      <w:r>
        <w:t xml:space="preserve">Službena odjeća i obuća djelatnika ustanove nabavlja se sukladno važećoj Proceduri korištenja, čuvanja i zamjene službene radne odjeće i obuće. Tijekom prethodnog izvještajnog razdoblja ustanova je djelatnicima (postojećim i novim) izvšila nabavu radne odjeće i obuće, a do kraja godine se očekuje daljnja nabava za tekuće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1.009,31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2.406,53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238,4</w:t>
            </w:r>
          </w:p>
        </w:tc>
      </w:tr>
    </w:tbl>
    <w:p>
      <w:pPr>
        <w:spacing w:before="0" w:after="0"/>
      </w:pPr>
    </w:p>
    <w:p>
      <w:r>
        <w:t xml:space="preserve">Na znatno povećanje zdravstvenih i veterinarskih usluga utjecalo je uzorkovanje i analiza vode za ljudsku potrošnju, analiza vode na prisustvo legionella spp. te analiza vode -A analiza HACCP koje je obavio Zavod za javno zdravstvo dubrovačko - neretvanske županije i za koje je ukupno isplaćeno 966,25 EUR.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5.031,73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5.880,67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116,9</w:t>
            </w:r>
          </w:p>
        </w:tc>
      </w:tr>
    </w:tbl>
    <w:p>
      <w:pPr>
        <w:spacing w:before="0" w:after="0"/>
      </w:pPr>
    </w:p>
    <w:p>
      <w:r>
        <w:t xml:space="preserve">Od početka 2026. godine ustanova je angažirala putem ugovora o djelu dr.med.spec. psihijatrije Irenu Primorac Bošnjak za stručne ambulantne usluge i pružanja savjetovanja u kriznim situacijama (2 sata mjesečno). Prethodne godine je ustanova navedeni ugovor sklopila tek sredinom mjeseca travnja 2025. godine te je navedeno razlog povećanja predmetnog indeksa.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951,01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1.440,70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151,5</w:t>
            </w:r>
          </w:p>
        </w:tc>
      </w:tr>
    </w:tbl>
    <w:p>
      <w:pPr>
        <w:spacing w:before="0" w:after="0"/>
      </w:pPr>
    </w:p>
    <w:p>
      <w:r>
        <w:t xml:space="preserve">Osim uobičajenih pristojbi koje ustanova podmiruje (HRT pretplata, pristojbe pri registraciji vozila i sl.), tijekom izvještajnog razdoblja ustanova je morala podmiriti i pristojbu Dubrovačko-neretvanskoj županiji za izdavanje pravomoćne građevinske dozvole u visini od 156,37 EUR te je poduzela i korake za podmirenje sudskih troškova (ovrha putem FINA-e) po pravomoćnoj presudi Općinskog suda u Dubrovniku u visini od 132,72 EUR što je dovelo do povećanja indeksa na poziciji 3295.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226,5</w:t>
            </w:r>
          </w:p>
        </w:tc>
      </w:tr>
    </w:tbl>
    <w:p>
      <w:pPr>
        <w:spacing w:before="0" w:after="0"/>
      </w:pPr>
    </w:p>
    <w:p>
      <w:r>
        <w:t xml:space="preserve">U tekućem razdoblju ustanova je naručila i podmirila kupnju 4 pogrebnih vijenaca dok je u prethodnom izvještajnom razdoblju kupljen 1 pogrebni vijenac što je dovelo do povećanja indeksa na poziciji 3299.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93.597,78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105.307,36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112,5</w:t>
            </w:r>
          </w:p>
        </w:tc>
      </w:tr>
    </w:tbl>
    <w:p>
      <w:pPr>
        <w:spacing w:before="0" w:after="0"/>
      </w:pPr>
    </w:p>
    <w:p>
      <w:r>
        <w:t xml:space="preserve">Povećanje prihoda od korisnika koji sudjeluju u podmirenju cijene usluge (povećanje mirovina) omogućilo je veći prijenos sredstava nadležnom Ministarstvu.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14.528,39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68,9</w:t>
            </w:r>
          </w:p>
        </w:tc>
      </w:tr>
    </w:tbl>
    <w:p>
      <w:pPr>
        <w:spacing w:before="0" w:after="0"/>
      </w:pPr>
    </w:p>
    <w:p>
      <w:r>
        <w:t xml:space="preserve">U odnosu na prethodnu godinu, ustanova je nabavila nefinancijsku imovinu u visini od 10.007,77 EUR. Kupljena su dva klima uređaja ukupne vrijednosti od 2.612,50 EUR (QTerm 5,4-5,8 kw inverter vrijednosti 1.537,50 EUR te AZURI inverter 3,2-3,4 kw vrijednosti 1.075,00 EUR), nabavljena su 4 nova mini Taurus kreveta za korisnike ukupne vrijednosti 4.276,52 EUR, hladnjak inox 455 litara vrijednosti 1.737,50 EUR, štapni mikser za miksanje hrane korisnika u vrijednosti od 712,50 EUR te vaga s platformom 300 kg za mjerenje tjelesne težine korisnika u vrijednosti od 668,75 EUR.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Ukupno stanje obveza na kraju izvještajnog razdoblja u visini od 107.869,84 EUR u cijelosti je u dospijeću te ustanova NEMA dospjelih obveza.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Međusobne obveze subjekata općeg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5.389,01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Međusobne nedospjele obveze u visini od 5.389,01 EUR sastoje se od:</w:t>
      </w:r>
    </w:p>
    <w:p>
      <w:pPr>
        <w:pStyle w:val="ListParagraph"/>
        <w:numPr>
          <w:ilvl w:val="0"/>
          <w:numId w:val="2"/>
        </w:numPr>
      </w:pPr>
      <w:r>
        <w:t xml:space="preserve">1.420,49 EUR obveza za povrat u proračun bolovanja na teret HZZO-a;</w:t>
      </w:r>
    </w:p>
    <w:p>
      <w:pPr>
        <w:pStyle w:val="ListParagraph"/>
        <w:numPr>
          <w:ilvl w:val="0"/>
          <w:numId w:val="2"/>
        </w:numPr>
      </w:pPr>
      <w:r>
        <w:t xml:space="preserve">3.213,60 EUR obveza za povrat u proračun bolovanja za ozljede na radu na teret HZZO-a;</w:t>
      </w:r>
    </w:p>
    <w:p>
      <w:pPr>
        <w:pStyle w:val="ListParagraph"/>
        <w:numPr>
          <w:ilvl w:val="0"/>
          <w:numId w:val="2"/>
        </w:numPr>
      </w:pPr>
      <w:r>
        <w:t xml:space="preserve">751,31 EUR obveza za povrat u proračun priznatih i vraćenih pretplata poreza i doprinosa MIO I. i II. stup nakon izvršenih korekcija plaća po priznavanju ozljede na radu;</w:t>
      </w:r>
    </w:p>
    <w:p>
      <w:pPr>
        <w:pStyle w:val="ListParagraph"/>
        <w:numPr>
          <w:ilvl w:val="0"/>
          <w:numId w:val="2"/>
        </w:numPr>
      </w:pPr>
      <w:r>
        <w:t xml:space="preserve">3,61 EUR obveze za povrat u proračun obračunatih pasivnih kamata za razdoblje 1.7. - 30.-9.2026. godine od strane Hrvatske poštanske banke d.d. u kojoj ustanova ima otvoren žiro račun.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94.018,68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rashode poslovanja u visini od 94.018,68 EUR sastoje se od:</w:t>
      </w:r>
    </w:p>
    <w:p>
      <w:pPr>
        <w:pStyle w:val="ListParagraph"/>
        <w:numPr>
          <w:ilvl w:val="0"/>
          <w:numId w:val="2"/>
        </w:numPr>
      </w:pPr>
      <w:r>
        <w:t xml:space="preserve">obračunate plaće za mjesec 09/26 u visini od 84.077,78 EUR;</w:t>
      </w:r>
    </w:p>
    <w:p>
      <w:pPr>
        <w:pStyle w:val="ListParagraph"/>
        <w:numPr>
          <w:ilvl w:val="0"/>
          <w:numId w:val="2"/>
        </w:numPr>
      </w:pPr>
      <w:r>
        <w:t xml:space="preserve">obračunatih troškova prijevoza na posao i s posla djelatnika za mjesec 09/26 u visini od 2.589,34 EUR;</w:t>
      </w:r>
    </w:p>
    <w:p>
      <w:pPr>
        <w:pStyle w:val="ListParagraph"/>
        <w:numPr>
          <w:ilvl w:val="0"/>
          <w:numId w:val="2"/>
        </w:numPr>
      </w:pPr>
      <w:r>
        <w:t xml:space="preserve">obračunatog ugovora o djelu za 09/26 godine dr.med.spec. psihijatrije Irene Primorac Bošnjak u visini od 223,97 EUR te</w:t>
      </w:r>
    </w:p>
    <w:p>
      <w:pPr>
        <w:pStyle w:val="ListParagraph"/>
        <w:numPr>
          <w:ilvl w:val="0"/>
          <w:numId w:val="2"/>
        </w:numPr>
      </w:pPr>
      <w:r>
        <w:t xml:space="preserve">računa dobavljača za isporučenu robu/usluge u ukupnoj visini od 7.127,59 EUR.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8.462,15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predujmove, depozite, jamčevne pologe i tuđe prihode u visini od 8.462,15 EUR sastoje se od:</w:t>
      </w:r>
    </w:p>
    <w:p>
      <w:pPr>
        <w:pStyle w:val="ListParagraph"/>
        <w:numPr>
          <w:ilvl w:val="0"/>
          <w:numId w:val="2"/>
        </w:numPr>
      </w:pPr>
      <w:r>
        <w:t xml:space="preserve">4.937,15 EUR predujmova korisnika usluga nastalih prilikom plaćanja cijene usluge smještaja/boravka (pretplate korisnika);</w:t>
      </w:r>
    </w:p>
    <w:p>
      <w:pPr>
        <w:pStyle w:val="ListParagraph"/>
        <w:numPr>
          <w:ilvl w:val="0"/>
          <w:numId w:val="2"/>
        </w:numPr>
      </w:pPr>
      <w:r>
        <w:t xml:space="preserve">3.525,00 EUR jamčevnih pologa primljenih od ponuditelja koji su se javili na poziv za dostavu ponuda u sklopu nabave usluge upravljanja projektom "Uređenje i opremanje CZR Josipovac uz razvoj mreže izvaninstitucijskih usluga" kao jamstvo za ozbiljnost ponude (2.100,00 EUR) te 1.425,00 EUR kao jamstvo odabranog ponuditelja za uredno ispunjenje potpisanog ugovora.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Centar za rehabilitaciju Josipovac je 11.09.2026. godine potpisao Ugovor o dodjeli bespovratnih sredstava za projekt koji se financira iz EU strukturnih i investicijsih fondova iz pograma "</w:t>
      </w:r>
      <w:r>
        <w:rPr>
          <w:b/>
        </w:rPr>
        <w:t xml:space="preserve">Konkurentnost i kohezija" u financijskom razdoblju 2021. - 2027.</w:t>
      </w:r>
      <w:r>
        <w:t xml:space="preserve">"</w:t>
      </w:r>
    </w:p>
    <w:p>
      <w:r>
        <w:t xml:space="preserve">Za projekt pod nazivom "</w:t>
      </w:r>
      <w:r>
        <w:rPr>
          <w:b/>
        </w:rPr>
        <w:t xml:space="preserve">Uređenje i opremanje CZR Josipovac uz razvoj mreže izvaninstitucijskih usluga</w:t>
      </w:r>
      <w:r>
        <w:t xml:space="preserve">" (Referentna oznaka projekta: PK.6.06.0026) dodijeljeno je ukupno </w:t>
      </w:r>
      <w:r>
        <w:rPr>
          <w:b/>
        </w:rPr>
        <w:t xml:space="preserve">1.688.898,62 EUR</w:t>
      </w:r>
      <w:r>
        <w:t xml:space="preserve"> bespovratnih sredstava.</w:t>
      </w:r>
    </w:p>
    <w:p>
      <w:r>
        <w:t xml:space="preserve">Sredstva su osigurana u državnom proračuna na Razdjelu 086, Glavi 60, Programu 40, Potprogramu 4003 - Podizanje kvalitete i dostupnosti socijalne skrbi", Aktivnosti K790017 - Program konkurentnost i kohezija 2021. - 2027. te izvorima financiranja:</w:t>
      </w:r>
    </w:p>
    <w:p>
      <w:pPr>
        <w:pStyle w:val="ListParagraph"/>
        <w:numPr>
          <w:ilvl w:val="0"/>
          <w:numId w:val="2"/>
        </w:numPr>
      </w:pPr>
      <w:r>
        <w:t xml:space="preserve">Izvor I:      </w:t>
      </w:r>
      <w:r>
        <w:rPr>
          <w:b/>
        </w:rPr>
        <w:t xml:space="preserve">12</w:t>
      </w:r>
      <w:r>
        <w:t xml:space="preserve"> - Sredstva učešća za pomoći</w:t>
      </w:r>
    </w:p>
    <w:p>
      <w:pPr>
        <w:pStyle w:val="ListParagraph"/>
        <w:numPr>
          <w:ilvl w:val="0"/>
          <w:numId w:val="2"/>
        </w:numPr>
      </w:pPr>
      <w:r>
        <w:t xml:space="preserve">Izvor II:  </w:t>
      </w:r>
      <w:r>
        <w:rPr>
          <w:b/>
        </w:rPr>
        <w:t xml:space="preserve">563</w:t>
      </w:r>
      <w:r>
        <w:t xml:space="preserve"> - Europski fond za regionalni razvoj (EFRR)</w:t>
      </w:r>
    </w:p>
    <w:p>
      <w:r>
        <w:t xml:space="preserve">Predmetni ugovor je u poslovnim knjigama ustanove evidentiran izvanbilančno (pozicija 99171 - potraživanja po ugovorima o dodijeljenim bespovratnim sredstvima iz EU fondova) te je tako prikazan i u izvještajima.</w:t>
      </w:r>
    </w:p>
    <w:p>
      <w:r>
        <w:t xml:space="preserve">Od ukupno bespovratno dodijeljenih sredstava u visini od </w:t>
      </w:r>
      <w:r>
        <w:rPr>
          <w:b/>
        </w:rPr>
        <w:t xml:space="preserve">1.688.898,62 EUR</w:t>
      </w:r>
      <w:r>
        <w:t xml:space="preserve">, iznos od: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1.435.563,83 EUR</w:t>
      </w:r>
      <w:r>
        <w:t xml:space="preserve"> ili </w:t>
      </w:r>
      <w:r>
        <w:rPr>
          <w:b/>
        </w:rPr>
        <w:t xml:space="preserve">85%</w:t>
      </w:r>
      <w:r>
        <w:t xml:space="preserve"> evidentiran je na </w:t>
      </w:r>
      <w:r>
        <w:rPr>
          <w:b/>
        </w:rPr>
        <w:t xml:space="preserve">izvoru 563</w:t>
      </w:r>
      <w:r>
        <w:t xml:space="preserve"> (EFRR)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    253.334,79 EUR</w:t>
      </w:r>
      <w:r>
        <w:t xml:space="preserve"> ili </w:t>
      </w:r>
      <w:r>
        <w:rPr>
          <w:b/>
        </w:rPr>
        <w:t xml:space="preserve">15%</w:t>
      </w:r>
      <w:r>
        <w:t xml:space="preserve"> evidentiran je na </w:t>
      </w:r>
      <w:r>
        <w:rPr>
          <w:b/>
        </w:rPr>
        <w:t xml:space="preserve">izvoru 12</w:t>
      </w:r>
      <w:r>
        <w:t xml:space="preserve"> (sredstva učešća za pomoć odnosno nacionalno sufinanciranje).</w:t>
      </w:r>
    </w:p>
    <w:p>
      <w:r>
        <w:t xml:space="preserve"> 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6686865b574f9d" /><Relationship Type="http://schemas.openxmlformats.org/officeDocument/2006/relationships/numbering" Target="/word/numbering.xml" Id="Rffaa1d9a2f1f44cd" /></Relationships>
</file>