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93b6ed31d4bdf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21797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CENTAR ZA REHABILITACIJU JOSIPOVAC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III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284.105,61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344.423,06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372.901,20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336.081,51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8.341,55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1.737,50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1.737,50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252,7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6.604,05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Centar za rehabilitaciju Josipovac ostvaruje prihode iz sljedećih izvora financiranja:</w:t>
      </w:r>
    </w:p>
    <w:p>
      <w:r>
        <w:t xml:space="preserve">•         Izvor financiranja 11 - Opći prihodi i primici - prihodi iz državnog proračuna kojim se financiraju plaće zaposlenika i tekući rashodi;</w:t>
      </w:r>
    </w:p>
    <w:p>
      <w:r>
        <w:t xml:space="preserve">•         Izvor financiranja 31 - Vlastiti prihodi koji se ostvaruju prodajom proizvoda nastalih u sklopu radne okupacije korisnika te prodajom usluga (toplog obroka djelatnicima ustanove);</w:t>
      </w:r>
    </w:p>
    <w:p>
      <w:r>
        <w:t xml:space="preserve">•         Izvor financiranja 43 - Ostali prihodi za posebne namjene ostvareni od korisnika koji svojim prihodima sudjeluju u podmirenju cijene usluge sukladno rješenjima Hrvatskog zavoda za socijalni rad, a kojim se financiraju tekući rashodi poslovanja;</w:t>
      </w:r>
    </w:p>
    <w:p>
      <w:r>
        <w:t xml:space="preserve">•         Izvor financiranja 52 - Ostale pomoći - pomoći primljene od jedinica lokalne (regionalne) samouprave kojim se financiraju rashodi projekata koji se provode u ustanovi (projekti "Zaposlenjem do kvalitetnije skrbi" i "Korak uz korak") te drugi namjenski rashodi;</w:t>
      </w:r>
    </w:p>
    <w:p>
      <w:r>
        <w:t xml:space="preserve">•         Izvor financiranja 61 - Donacije.</w:t>
      </w:r>
    </w:p>
    <w:p>
      <w:r>
        <w:t xml:space="preserve"> </w:t>
      </w:r>
    </w:p>
    <w:p>
      <w:r>
        <w:t xml:space="preserve">U tekućem razdoblju ukupno je ostvareno 344.423,06 EUR prihoda poslovanja koji ne uključuju prihode za evidentirane rashoda poslovanja za plaću i prijevoz na posao redovnih zaposlenika za mjesec 03/26  u visini od 75.294,36 EUR te račune dobavljača za primljenu robu/usluge koje se odnose na tekuće izvještajno razdoblje u visini od 9.003,93 EUR. Navedena plaća i računi dobavljača su u cijelosti u dospijeću plaćanja i biti će plaćeni u travnju 2026. kada ćemo za njih primiti prihode iz izvora financiranja 11. Navedeni trošak plaća i računa dobavljača su prikazani u ukupnim rashodima poslovanja koji iznose 336.081,51 EUR.</w:t>
      </w:r>
    </w:p>
    <w:p>
      <w:r>
        <w:t xml:space="preserve">Krajem mjeseca ožujka 2026. godine ustanova je nabavila nefinancijsku imovinu - kupljen je hladnjak u vrijednosti od 1.737,50 EUR koji je financiran iz izvora 61 - donacije.</w:t>
      </w:r>
    </w:p>
    <w:p>
      <w:r>
        <w:t xml:space="preserve">Zbog navedenog je prikazan ukupan višak prihoda poslovanja u visini od 6.604,05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15.116,50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ustanovi se provode dva projekta koji se financiraju pomoćima JLP(R)S i to projekt "Zaposlenjem do kvalitetnije skrbi" i projekt "Korak uz korak". Za oba projekta Grad Dubrovnik je u izvještajnom razdoblju uplatio pomoć u visini od 10.297,50 EUR dok je Općina Župa dubrovačka uplatila 4.819,00 EUR. U prethodnom razdoblju Grad Dubrovnik nije u prvom polugodištu uplatio ugovoreni iznos dok Općina Župa dubrovačka prvi put ove godine sudjeluje u financiranju navedenih projekata.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28.193,87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35.320,86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125,3</w:t>
            </w:r>
          </w:p>
        </w:tc>
      </w:tr>
    </w:tbl>
    <w:p>
      <w:pPr>
        <w:spacing w:before="0" w:after="0"/>
      </w:pPr>
    </w:p>
    <w:p>
      <w:r>
        <w:t xml:space="preserve">Navedeni prihodi realiziraju se sudjelovanjem korisnika koji svojim prihodima sudjeluju u podmirenju cijele ili dijela cijene usluge smještaja/boravka. Kako se svake godine povećavaju iznosi korisničkih mirovina kojima se podmiruje cijena usluge, to je prikazano povećanje navedenih prihoda.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2.657,00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3.764,20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141,7</w:t>
            </w:r>
          </w:p>
        </w:tc>
      </w:tr>
    </w:tbl>
    <w:p>
      <w:pPr>
        <w:spacing w:before="0" w:after="0"/>
      </w:pPr>
    </w:p>
    <w:p>
      <w:r>
        <w:t xml:space="preserve">Tijekom prvog tromjesečja organiziran je veći broj prodajnih izložbi cvijeća, ukrasnih proizvoda i uskršnjih dekoracija kojim se ostvaruju navedeni prihodi što je dovelo do povećanja prihoda od prodaje vlastitih proizvoda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2.447,10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4.602,10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188,1</w:t>
            </w:r>
          </w:p>
        </w:tc>
      </w:tr>
    </w:tbl>
    <w:p>
      <w:pPr>
        <w:spacing w:before="0" w:after="0"/>
      </w:pPr>
    </w:p>
    <w:p>
      <w:r>
        <w:t xml:space="preserve">Razlog povećanja prihoda od donacija vidimo u ranijem datumu Uskrsa prigodom kojeg građani šireg dubrovačkog područja rado doniraju naše korisnike.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292.743,97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232.251,28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79,3</w:t>
            </w:r>
          </w:p>
        </w:tc>
      </w:tr>
    </w:tbl>
    <w:p>
      <w:pPr>
        <w:spacing w:before="0" w:after="0"/>
      </w:pPr>
    </w:p>
    <w:p>
      <w:r>
        <w:t xml:space="preserve">Prikazano smanjene rashoda za plaće u odnosu na prethodno izvještajno razdoblje rezultat je stupanja na snagu novog Pravilnika o proračunskom računovodstvu (NN 158/23 i 154/24) s danom 1.1.2025. godine. Naime, 1.1. 2025. godine evidentirana je plaća koja je bila prikazana na "kontinuiranim rashodima", a odnosila se na mjesec 12/24 te prema novom Pravilniku i plaće za 01/25, 02/25 i 03/25 (ukupno 4 plaće). Za razliku od prethodnog izvještajnog razdoblja, u prvom tromjesječju 2026. godine evidentirane su samo 3 plaće što je dovelo do smanjenja indeksa unatoč povećanju osnovice za obračun plaće.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2.487,19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3.705,42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149,0</w:t>
            </w:r>
          </w:p>
        </w:tc>
      </w:tr>
    </w:tbl>
    <w:p>
      <w:pPr>
        <w:spacing w:before="0" w:after="0"/>
      </w:pPr>
    </w:p>
    <w:p>
      <w:r>
        <w:t xml:space="preserve">Zbog bolovanja te korištenja porodiljnih dopusta i sl. nije se mogao organizirati rad na Odjelu njege i brige o zdravlju bez ostvarenih prekovremenih sati rada te je došlo do povećanja predmetnog indeksa. Također je od veljače 2026. godine omogućena isplata prekovremenih sati u mjesecu u kojem su oni i ostvareni dok je za prethodno izvještajno razdoblje ustanova tek po zaprimanju odobrenja nadležnog Ministarstva vršila navedenu isplatu.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911,13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206,4</w:t>
            </w:r>
          </w:p>
        </w:tc>
      </w:tr>
    </w:tbl>
    <w:p>
      <w:pPr>
        <w:spacing w:before="0" w:after="0"/>
      </w:pPr>
    </w:p>
    <w:p>
      <w:r>
        <w:t xml:space="preserve">Za razliku od prethodnog izvještajnog razdoblja, u siječnju 01/26 je isplaćena jubilarna nagrada u visini od 611,13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968,29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2.127,58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219,7</w:t>
            </w:r>
          </w:p>
        </w:tc>
      </w:tr>
    </w:tbl>
    <w:p>
      <w:pPr>
        <w:spacing w:before="0" w:after="0"/>
      </w:pPr>
    </w:p>
    <w:p>
      <w:r>
        <w:t xml:space="preserve">U tekućem izvještajnom razdoblju povećan je broj odlazaka na službena putovanja (sastanci, edukacije i sl.) što je dovelo do povećanja navedenog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489,1</w:t>
            </w:r>
          </w:p>
        </w:tc>
      </w:tr>
    </w:tbl>
    <w:p>
      <w:pPr>
        <w:spacing w:before="0" w:after="0"/>
      </w:pPr>
    </w:p>
    <w:p>
      <w:r>
        <w:t xml:space="preserve">U izvještajnom razdoblju ustanova je uputila fizioterapeutkinju na stručnu edukaciju za koju je plaćena kotizacija u visini od 690 EUR. Također je plaćena edukacija koja je bodovana od strane nadležne komore za djelatnicu zaposlenu na radnom mjestu rehabilitatora u visini od 205 EUR. Navedeno je dovelo do povećanje predmetnog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2.188,83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5.050,24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230,7</w:t>
            </w:r>
          </w:p>
        </w:tc>
      </w:tr>
    </w:tbl>
    <w:p>
      <w:pPr>
        <w:spacing w:before="0" w:after="0"/>
      </w:pPr>
    </w:p>
    <w:p>
      <w:r>
        <w:t xml:space="preserve">U tekućem razdoblju izvršena je nabava uredskog materijala (papira, registratora i sl.) što je dovelo do povećanja predmetnog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11.698,44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13.901,55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118,8</w:t>
            </w:r>
          </w:p>
        </w:tc>
      </w:tr>
    </w:tbl>
    <w:p>
      <w:pPr>
        <w:spacing w:before="0" w:after="0"/>
      </w:pPr>
    </w:p>
    <w:p>
      <w:r>
        <w:t xml:space="preserve">Nabava lož ulja po većim cijenama u odnosu na prošlu godinu utjecala je na povećanje predmetnog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1.248,14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U izvještajnom razdoblju izvšrena je zamjena žarulja/led lampi u ustanovi što je dovelo do povećanja indeksa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4.187,49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8.130,99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194,2</w:t>
            </w:r>
          </w:p>
        </w:tc>
      </w:tr>
    </w:tbl>
    <w:p>
      <w:pPr>
        <w:spacing w:before="0" w:after="0"/>
      </w:pPr>
    </w:p>
    <w:p>
      <w:r>
        <w:t xml:space="preserve">Na povećanje usluga tekućeg i inv. održavanja utjecali su troškovi plaćanja popravka perilice rublja u visini do 2.056,25 EUR te servis i popravak plamenika u visini od 1.395,08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249,8</w:t>
            </w:r>
          </w:p>
        </w:tc>
      </w:tr>
    </w:tbl>
    <w:p>
      <w:pPr>
        <w:spacing w:before="0" w:after="0"/>
      </w:pPr>
    </w:p>
    <w:p>
      <w:r>
        <w:t xml:space="preserve">Osim kontinuiranih redovnih zdravstvenih pregleda djelatnika, na navedenoj poziciji evidentirano je uzorkovanje i analiza vode za ljudsku potrošnju (A-analiza HACCP, ispitivanje mikrobiološke čistoće metodom brisa ili otiska te mikrobiološka analiza hrane koja je u 2026. godini naplaćena u visini od 450 EUR što je dovelo do povećanja predmetnog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223,4</w:t>
            </w:r>
          </w:p>
        </w:tc>
      </w:tr>
    </w:tbl>
    <w:p>
      <w:pPr>
        <w:spacing w:before="0" w:after="0"/>
      </w:pPr>
    </w:p>
    <w:p>
      <w:r>
        <w:t xml:space="preserve">Za razliku od prethodnog razdoblja, u prvom tromjesečju je izvšen pregled i ispitivanje dizala čiji rashod je evidentiran u visini od 125 EUR što je dovelo do povećanja predmetnog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691,46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384,39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55,6</w:t>
            </w:r>
          </w:p>
        </w:tc>
      </w:tr>
    </w:tbl>
    <w:p>
      <w:pPr>
        <w:spacing w:before="0" w:after="0"/>
      </w:pPr>
    </w:p>
    <w:p>
      <w:r>
        <w:t xml:space="preserve">Za razliku od tekućeg izvještajnog razdoblja, u prethodnom razdoblju je evidentiran rashod naknade za uređenje voda u visini od 387,34 EUR što je dovelo do smanjenja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217,6</w:t>
            </w:r>
          </w:p>
        </w:tc>
      </w:tr>
    </w:tbl>
    <w:p>
      <w:pPr>
        <w:spacing w:before="0" w:after="0"/>
      </w:pPr>
    </w:p>
    <w:p>
      <w:r>
        <w:t xml:space="preserve">U tekućem izvještajnom razdoblju evidentiran je rashod 2 pogrebna vijenca u ukupnom iznosu od 185 EUR dok je u prethodnom razdoblju evidentiran rashod 1 pogrebnog vijenca.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24.070,40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32.693,85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135,8</w:t>
            </w:r>
          </w:p>
        </w:tc>
      </w:tr>
    </w:tbl>
    <w:p>
      <w:pPr>
        <w:spacing w:before="0" w:after="0"/>
      </w:pPr>
    </w:p>
    <w:p>
      <w:r>
        <w:t xml:space="preserve">Povećanje prihoda od korisnika koji sudjeluju u podmirivanju cijene usluge (povećanje mirovina) omogućilo je veći prijenos sredstava nadležnom Ministarstvu.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5.731,05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3.465,51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60,5</w:t>
            </w:r>
          </w:p>
        </w:tc>
      </w:tr>
    </w:tbl>
    <w:p>
      <w:pPr>
        <w:spacing w:before="0" w:after="0"/>
      </w:pPr>
    </w:p>
    <w:p>
      <w:r>
        <w:t xml:space="preserve">U prethodnom razdoblju iz sredstava donacija primljenim od Zaklade Blaga djela isplaćen je džeparac korisnicima s područja Dubrovačko-neretvanske županije što je dovelo do smanjenja predmetnog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1.665,60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2.238,37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134,4</w:t>
            </w:r>
          </w:p>
        </w:tc>
      </w:tr>
    </w:tbl>
    <w:p>
      <w:pPr>
        <w:spacing w:before="0" w:after="0"/>
      </w:pPr>
    </w:p>
    <w:p>
      <w:r>
        <w:t xml:space="preserve">Odlazak na 2 natjecanja s korisnicima utjecao je na povećanje predmetnog indeksa.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1.737,50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252,7</w:t>
            </w:r>
          </w:p>
        </w:tc>
      </w:tr>
    </w:tbl>
    <w:p>
      <w:pPr>
        <w:spacing w:before="0" w:after="0"/>
      </w:pPr>
    </w:p>
    <w:p>
      <w:r>
        <w:t xml:space="preserve">U prvom tromjesečju kupljen je hladnjak iz sredstava donacije u ukupnoj visini od 1.737,50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9221-9222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- preneseni (šifre '9221x,9222x VP' - '9221x,9222x MP' + 92213 - 92223)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9221-9222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120.998,84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10.808,74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8,9</w:t>
            </w:r>
          </w:p>
        </w:tc>
      </w:tr>
    </w:tbl>
    <w:p>
      <w:pPr>
        <w:spacing w:before="0" w:after="0"/>
      </w:pPr>
    </w:p>
    <w:p>
      <w:r>
        <w:t xml:space="preserve">Prenijeti višak prihoda evidentiran u obrascu PR-RAS na dan 31.12.2025. godine iznosio je : 11.215,67 EUR. U siječnju 2026. godine izvršen je povrat na teret viška neutrošenih sredstava za projekt "Korak uz korak" Gradu Dubrovniku u visini od 406,93 EUR te je prikazan prenijeti višak u visini od 10.808,74 EUR.</w:t>
      </w:r>
    </w:p>
    <w:p>
      <w:r>
        <w:t xml:space="preserve">Prenijeti višak u prethodnom razdoblju u visini od 120.998,84 EUR (višak prenijet iz 2024. godine) se mogao iskazati u navedenom iznosu jer se u 2024. godini nije primjenjivao "novi" Pravilnik o proračunskom računovodstvu te su plaće za 12. mjesec i kontinuirani rashodi bili prikazani na računu 193 (kontinuiranih rashoda) dok su u tekućem razdoblju prikazani na računima 3 - rashodi poslovanja.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Ustanova 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3.532,97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Međusobne obveze subjekata općeg proračuna u visini od 3.532,97 EUR sastoje se od:</w:t>
      </w:r>
    </w:p>
    <w:p>
      <w:pPr>
        <w:pStyle w:val="ListParagraph"/>
        <w:numPr>
          <w:ilvl w:val="0"/>
          <w:numId w:val="2"/>
        </w:numPr>
      </w:pPr>
      <w:r>
        <w:t xml:space="preserve">obveza proračunskih korisnika za povrat u proračun naknada za bolovanje na teret HZZO-a (bolovanja preko 42 dana) u visini od 3.530,23 EUR i</w:t>
      </w:r>
    </w:p>
    <w:p>
      <w:pPr>
        <w:pStyle w:val="ListParagraph"/>
        <w:numPr>
          <w:ilvl w:val="0"/>
          <w:numId w:val="2"/>
        </w:numPr>
      </w:pPr>
      <w:r>
        <w:t xml:space="preserve">obveze za povrat u proračun obračunatih pasivnih kamata od strane Hrvatske poštanske banke d.d. za razdoblje 1.1.-31.3.2026. godine u visini od 2,74 EUR.</w:t>
      </w:r>
    </w:p>
    <w:p>
      <w:r>
        <w:t xml:space="preserve">Obveze za rashode poslovanja u visini od 90.254,54 EUR uključuju:</w:t>
      </w:r>
    </w:p>
    <w:p>
      <w:pPr>
        <w:pStyle w:val="ListParagraph"/>
        <w:numPr>
          <w:ilvl w:val="0"/>
          <w:numId w:val="3"/>
        </w:numPr>
      </w:pPr>
      <w:r>
        <w:t xml:space="preserve">obračunat ugovor o djelu u visini od 223,95 EUR dr.spec.psihijatra Irene Primorac Bošnjak za pružene ambulantne usluge za mjesec 03/26;</w:t>
      </w:r>
    </w:p>
    <w:p>
      <w:pPr>
        <w:pStyle w:val="ListParagraph"/>
        <w:numPr>
          <w:ilvl w:val="0"/>
          <w:numId w:val="3"/>
        </w:numPr>
      </w:pPr>
      <w:r>
        <w:t xml:space="preserve">obveze za plaće i prijevoz na posao zaposlenika (redovnih i na projektima) za mjesec 03/26 u visini od 81.026,66 EUR;</w:t>
      </w:r>
    </w:p>
    <w:p>
      <w:pPr>
        <w:pStyle w:val="ListParagraph"/>
        <w:numPr>
          <w:ilvl w:val="0"/>
          <w:numId w:val="3"/>
        </w:numPr>
      </w:pPr>
      <w:r>
        <w:t xml:space="preserve">računi dobavljača za isporučenu robu/pružene usluge u dospijeću plaćanja u ukupnoj visini od 9.003,93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90.254,54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rashode poslovanja u visini od 90.254,54 EUR uključuju: </w:t>
      </w:r>
    </w:p>
    <w:p>
      <w:pPr>
        <w:pStyle w:val="ListParagraph"/>
        <w:numPr>
          <w:ilvl w:val="0"/>
          <w:numId w:val="2"/>
        </w:numPr>
      </w:pPr>
      <w:r>
        <w:t xml:space="preserve">obračunat ugovor o djelu u visini od 223,95 EUR dr.spec.psihijatra Irene Primorac Bošnjak za pružene ambulantne usluge za mjesec 03/26;</w:t>
      </w:r>
    </w:p>
    <w:p>
      <w:pPr>
        <w:pStyle w:val="ListParagraph"/>
        <w:numPr>
          <w:ilvl w:val="0"/>
          <w:numId w:val="2"/>
        </w:numPr>
      </w:pPr>
      <w:r>
        <w:t xml:space="preserve">obveze za plaće i prijevoz na posao zaposlenika (redovnih i na projektima) za mjesec 03/26 u visini od 81.026,66 EUR;</w:t>
      </w:r>
    </w:p>
    <w:p>
      <w:pPr>
        <w:pStyle w:val="ListParagraph"/>
        <w:numPr>
          <w:ilvl w:val="0"/>
          <w:numId w:val="2"/>
        </w:numPr>
      </w:pPr>
      <w:r>
        <w:t xml:space="preserve">računi dobavljača za isporučenu robu/pružene usluge u dospijeću plaćanja u ukupnoj visini od 9.003,93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4.018,49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predujmove u visini od 4.018,49 EUR odnose se na pretplate korisnika koji svojim prihodima sudjeluju u podmirenju cijene usluge smještaja odnosno boravka.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42e9bc010a4086" /><Relationship Type="http://schemas.openxmlformats.org/officeDocument/2006/relationships/numbering" Target="/word/numbering.xml" Id="Rd2b7fc206c87484e" /></Relationships>
</file>