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2300960c4874b5d"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21797</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CENTAR ZA REHABILITACIJU JOSIPOVAC</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11</w:t>
            </w:r>
          </w:p>
        </w:tc>
      </w:tr>
    </w:tbl>
    <w:p>
      <w:r>
        <w:br/>
      </w:r>
    </w:p>
    <w:p>
      <w:pPr>
        <w:jc w:val="center"/>
        <w:pStyle w:val="Normal"/>
        <w:spacing w:line="240" w:lineRule="auto"/>
      </w:pPr>
      <w:r>
        <w:rPr>
          <w:b/>
          <w:sz w:val="28"/>
          <w:rFonts w:ascii="Times New Roman" w:hAnsi="Times New Roman"/>
        </w:rPr>
        <w:t>BILJEŠKE UZ FINANCIJSKE IZVJEŠTAJE</w:t>
      </w:r>
    </w:p>
    <w:p>
      <w:pPr>
        <w:jc w:val="center"/>
        <w:pStyle w:val="Normal"/>
        <w:spacing w:line="240" w:lineRule="auto"/>
      </w:pPr>
      <w:r>
        <w:rPr>
          <w:b/>
          <w:sz w:val="28"/>
          <w:rFonts w:ascii="Times New Roman" w:hAnsi="Times New Roman"/>
        </w:rPr>
        <w:t>ZA RAZDOBLJE</w:t>
      </w:r>
    </w:p>
    <w:p>
      <w:pPr>
        <w:jc w:val="center"/>
        <w:pStyle w:val="Normal"/>
        <w:spacing w:line="240" w:lineRule="auto"/>
      </w:pPr>
      <w:r>
        <w:rPr>
          <w:b/>
          <w:sz w:val="28"/>
          <w:rFonts w:ascii="Times New Roman" w:hAnsi="Times New Roman"/>
        </w:rPr>
        <w:t>I - IX 2025.</w:t>
      </w:r>
    </w:p>
    <w:p/>
    <w:p>
      <w:pPr>
        <w:jc w:val="center"/>
        <w:pStyle w:val="Normal"/>
        <w:spacing w:line="240" w:lineRule="auto"/>
        <w:keepNext/>
      </w:pPr>
      <w:r>
        <w:rPr>
          <w:b/>
          <w:sz w:val="28"/>
          <w:rFonts w:ascii="Times New Roman" w:hAnsi="Times New Roman"/>
        </w:rPr>
        <w:t>Izvještaj o prihodima i rashodima, primicima i izdacima</w:t>
      </w:r>
    </w:p>
    <w:p>
      <w:pPr>
        <w:jc w:val="center"/>
        <w:pStyle w:val="Normal"/>
        <w:spacing w:line="240" w:lineRule="auto"/>
        <w:keepNext/>
      </w:pPr>
      <w:r>
        <w:rPr>
          <w:sz w:val="28"/>
          <w:rFonts w:ascii="Times New Roman" w:hAnsi="Times New Roman"/>
        </w:rPr>
        <w:t>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914.097,92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968.063,94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854.128,99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1.027.173,56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59.109,62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23.470,24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14.528,39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23.470,24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14.528,39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61,9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73.638,01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pPr>
        <w:jc w:val="both"/>
        <w:pStyle w:val="Normal"/>
        <w:spacing w:line="240" w:lineRule="auto"/>
      </w:pPr>
      <w:r>
        <w:rPr>
          <w:sz w:val="24"/>
          <w:rFonts w:ascii="Times New Roman" w:hAnsi="Times New Roman"/>
        </w:rPr>
        <w:t>U razdoblju od 1. siječnja do 30. rujna 2025. godine prihodi poslovanja ostvareni su u iznosu od 968.063,94 EUR.
Najznačajnije povećanje prihoda poslovanja ostvareno je od "Tekućih pomoći proračunskim korisnicima iz proračuna koji im nije nadležan" (pozicija 6361) - pomoći koje naša ustanova prima od jedinica lokalne uprave i samouprave za financiranje dva projekta - "Zaposlenjem do kvalitetnije skrbi" i "Korak uz korak". U tekućem izvještajnom razdoblju primljene su znatno veće pomoći od Dubrovačko-neretvanske županije u odnosu na prethodno izvještajno razdoblje (prethodne godine primljeno je 5.300 EUR pomoći dok je u tekućoj godini primljeno 9.394,98 EUR).
Povećani su i "Prihodi iz nadležnog proračuna za financiranje rashoda poslovanja" (pozicija 6711) kojima se financiraju redovne plaće zaposlenika i tekući rashodi što je uzrok povećanja osnovice za obračun plaće zaposlenika u javnim službama kao i rast troškova poslovanja. 
Najznačajnije smanjenje prihoda poslovanja ostvareno je od "Tekućih pomoći od izvanproračunskih korisnika" (pozicija 6341) - pomoći primljene od Hrvatskog zavoda za zapošljavanje za financiranje plaće pripravnice koja se u našoj ustanovi prošle godine zaposlila putem mjera HZZ za dodjelu potpore za pripravništvo u javnim službama. U prethodnoj godini naša ustanova je primila navedenu pomoć od HZZ u visini od 26.627,16 EUR dok u tekućem razdoblju nije zaposlen pripravnik u sklopu aktivnih mjera HZZ-a za zapošljavanje pripravnika.
Također, smanjenje prihoda je vidljivo na poziciji "Prihodi od pruženih usluga" (6615) - prihodi koje ustanova ostvaruje od prodaje toplog obroka zaposlenicima. Zbog korištenja prava na porodiljne dopuste, dugotrajnih bolovanja te promjene prehrambenih navika određenog broja zaposlenika došlo je do pada prodaje bonova za topli obrok te je vidljivo smanjenje prihoda (prethodne godine ostvareno je 1.316,20 EUR dok je u tekućem razdoblju ostvareno 951,60 EUR prihoda).
Rashodi poslovanja u razdoblju 1. siječnja do 30. rujna ostvareni su u iznosu od 1.027.173,56 EUR. 
Na rast rashoda najviše je utjecalo povećanje osnovice za obračun plaća zaposlenika u javnim službama kao i opće povećanje cijena materijala, energije i usluga. Također je vidljiv i utjecaj promjene zakonske regulative evidentiranja rashoda u odnosu na prethodnu godinu (od 1.1.2025. godine je u primjeni „novi“ Pravilnik o proračunskom računovodstvu i računskom planu) kojim se „kontinuirani rashodi“ više ne evidentiraju na računu 19 već na računima 3 – rashodi poslovanja. 
Najveće smanjenje rashoda u nominalnom iznosu ostvareno je na uslugama tekućeg i investicijskog održavanja zbog zamjene dotrajale opreme i manjeg broja prijavljenih kvarova. Kako je ustanova putem hitnih intervencija nabavila novu perilicu i sušilicu rublja te prošle godine i konvektomat za kuhinju koji se često kvario, smanjili su se rashodi za usluge tekućeg i investicijskog održavanja.
U navedenom razdoblju nema ostvarenih prihoda od prodaje nefinancijske imovine, dok su rashodi za nabavu nefinancijske imovine ostvareni u iznosu od 14.528,39 EUR. Ulagalo se u ugradnju rampe za invalide na kombiju (6.244,64 EUR), kupnju medicinske opreme – kombinirani uređaj za elektroterapiju i UZV s vakumskom jedinicom s kolicima (5.546,25 EUR), štapni mikser za hranu korisnika koji smiju jesti samo miksanu hranu (687,50 EUR), sportsku opremu – viseću kuglanu (550,00 EUR) te je primljena donacija trake za trčanje od Dominikanskog samostana (1.500,00 EUR).
U izvještajnom razdoblju nije bilo ostvarenih primitaka i izdataka od financijske imovine i zaduživanja.
U razdoblju od 1. siječnja do 30. rujna 2025. godine ostvaren je manjak prihoda poslovanja od 59.109,62 EUR, manjak prihoda od nefinancijske imovine u iznosu od 14.528,39 EUR, slijedom čega je na kraju izvještajnog razdoblja ostvaren ukupan manjak prihoda i primitaka u iznosu od 73.638,01 EUR.
Preneseni višak iz prethodne godine iznosi 120.898,41 EUR te višak prihoda poslovanja raspoloživ u sljedećem razdoblju iznosi 47.260,40 EUR.</w:t>
      </w:r>
    </w:p>
    <w:p>
      <w:r>
        <w:br/>
      </w:r>
    </w:p>
    <w:p>
      <w:pPr>
        <w:jc w:val="center"/>
        <w:pStyle w:val="Normal"/>
        <w:spacing w:line="240" w:lineRule="auto"/>
        <w:keepNext/>
      </w:pPr>
      <w:r>
        <w:rPr>
          <w:sz w:val="28"/>
          <w:rFonts w:ascii="Times New Roman" w:hAnsi="Times New Roman"/>
        </w:rPr>
        <w:t>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49.964,42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28.432,24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56,9</w:t>
            </w:r>
          </w:p>
        </w:tc>
      </w:tr>
    </w:tbl>
    <w:p>
      <w:pPr>
        <w:spacing w:before="0" w:after="0"/>
      </w:pPr>
    </w:p>
    <w:p>
      <w:pPr>
        <w:jc w:val="both"/>
        <w:pStyle w:val="Normal"/>
        <w:spacing w:line="240" w:lineRule="auto"/>
      </w:pPr>
      <w:r>
        <w:rPr>
          <w:sz w:val="24"/>
          <w:rFonts w:ascii="Times New Roman" w:hAnsi="Times New Roman"/>
        </w:rPr>
        <w:t>Prethodne godine je ustanova primila od Hrvatskog zavoda za zapošljavanje pomoć za financiranje plaće pripravnice koja se u našoj ustanovi  zaposlila putem mjera HZZ za dodjelu potpore za pripravništvo u javnim službama. U prethodnoj godini naša ustanova je primila navedenu pomoć od HZZ u visini od 26.627,16 EUR dok u tekućem razdoblju nije zaposlen pripravnik u sklopu aktivnih mjera HZZ-a za zapošljavanje pripravnika.</w:t>
      </w:r>
    </w:p>
    <w:p/>
    <w:p>
      <w:pPr>
        <w:jc w:val="center"/>
        <w:pStyle w:val="Normal"/>
        <w:spacing w:line="240" w:lineRule="auto"/>
        <w:keepNext/>
      </w:pPr>
      <w:r>
        <w:rPr>
          <w:sz w:val="28"/>
          <w:rFonts w:ascii="Times New Roman" w:hAnsi="Times New Roman"/>
        </w:rPr>
        <w:t>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proračunskim korisnicima iz proračuna koji im nije nadležan (šifre 6361+6362)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23.337,26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28.432,24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121,8</w:t>
            </w:r>
          </w:p>
        </w:tc>
      </w:tr>
    </w:tbl>
    <w:p>
      <w:pPr>
        <w:spacing w:before="0" w:after="0"/>
      </w:pPr>
    </w:p>
    <w:p>
      <w:pPr>
        <w:jc w:val="both"/>
        <w:pStyle w:val="Normal"/>
        <w:spacing w:line="240" w:lineRule="auto"/>
      </w:pPr>
      <w:r>
        <w:rPr>
          <w:sz w:val="24"/>
          <w:rFonts w:ascii="Times New Roman" w:hAnsi="Times New Roman"/>
        </w:rPr>
        <w:t>Povećanje prihoda poslovanja ostvareno je zahvaljujući znatno većoj primljenoj pomoći od Dubrovačko-neretvanske županije u odnosu na prethodno izvještajno razdoblje za financiranje projekta "Zaposlenjem do kvalitetnije skrbi". Prethodne godine primljeno je od Županije 5.300 EUR pomoći dok je u tekućoj godini primljeno 9.394,98 EUR.</w:t>
      </w:r>
    </w:p>
    <w:p/>
    <w:p>
      <w:pPr>
        <w:jc w:val="center"/>
        <w:pStyle w:val="Normal"/>
        <w:spacing w:line="240" w:lineRule="auto"/>
        <w:keepNext/>
      </w:pPr>
      <w:r>
        <w:rPr>
          <w:sz w:val="28"/>
          <w:rFonts w:ascii="Times New Roman" w:hAnsi="Times New Roman"/>
        </w:rPr>
        <w:t>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pruženih usluga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1.316,20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951,60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72,3</w:t>
            </w:r>
          </w:p>
        </w:tc>
      </w:tr>
    </w:tbl>
    <w:p>
      <w:pPr>
        <w:spacing w:before="0" w:after="0"/>
      </w:pPr>
    </w:p>
    <w:p>
      <w:pPr>
        <w:jc w:val="both"/>
        <w:pStyle w:val="Normal"/>
        <w:spacing w:line="240" w:lineRule="auto"/>
      </w:pPr>
      <w:r>
        <w:rPr>
          <w:sz w:val="24"/>
          <w:rFonts w:ascii="Times New Roman" w:hAnsi="Times New Roman"/>
        </w:rPr>
        <w:t>Smanjenje prihoda od pruženih usluga - prihoda koje ustanova ostvaruje od prodaje toplog obroka zaposlenicima ostvareno je zbog korištenja prava na porodiljne dopuste, dugotrajnih bolovanja te promjene prehrambenih navika određenog broja zaposlenika što je dovelo do pada prodaje bonova za topli obrok  (prethodne godine ostvareno je 1.316,20 EUR dok je u tekućem razdoblju ostvareno 951,60 EUR prihoda).</w:t>
      </w:r>
    </w:p>
    <w:p/>
    <w:p>
      <w:pPr>
        <w:jc w:val="center"/>
        <w:pStyle w:val="Normal"/>
        <w:spacing w:line="240" w:lineRule="auto"/>
        <w:keepNext/>
      </w:pPr>
      <w:r>
        <w:rPr>
          <w:sz w:val="28"/>
          <w:rFonts w:ascii="Times New Roman" w:hAnsi="Times New Roman"/>
        </w:rPr>
        <w:t>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(bruto) (šifre 3111 do 3114)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490.881,49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623.893,28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127,1</w:t>
            </w:r>
          </w:p>
        </w:tc>
      </w:tr>
    </w:tbl>
    <w:p>
      <w:pPr>
        <w:spacing w:before="0" w:after="0"/>
      </w:pPr>
    </w:p>
    <w:p>
      <w:pPr>
        <w:jc w:val="both"/>
        <w:pStyle w:val="Normal"/>
        <w:spacing w:line="240" w:lineRule="auto"/>
      </w:pPr>
      <w:r>
        <w:rPr>
          <w:sz w:val="24"/>
          <w:rFonts w:ascii="Times New Roman" w:hAnsi="Times New Roman"/>
        </w:rPr>
        <w:t>Povećanje osnovica za obračun plaća u javnim službama dovelo je do povećanja rashoda za zaposlene.</w:t>
      </w:r>
    </w:p>
    <w:p/>
    <w:p>
      <w:pPr>
        <w:jc w:val="center"/>
        <w:pStyle w:val="Normal"/>
        <w:spacing w:line="240" w:lineRule="auto"/>
        <w:keepNext/>
      </w:pPr>
      <w:r>
        <w:rPr>
          <w:sz w:val="28"/>
          <w:rFonts w:ascii="Times New Roman" w:hAnsi="Times New Roman"/>
        </w:rPr>
        <w:t>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za prekovremeni rad</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7.887,43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Style w:val="Normal"/>
        <w:spacing w:line="240" w:lineRule="auto"/>
      </w:pPr>
      <w:r>
        <w:rPr>
          <w:sz w:val="24"/>
          <w:rFonts w:ascii="Times New Roman" w:hAnsi="Times New Roman"/>
        </w:rPr>
        <w:t>Zbog korištenja prava na rodiljne dopuste, dugotrajnih bolovanja te rada u turnusima, radnici na Odjelu njege i brige o zdravlju ostvaruju prekovremeni rad. Prethodne godine, sukladno granskom kolektivnom ugovoru, radnici su mijenjali ostvarene sate prekovremenog rada za slobodne sate u omjeru 1:1,5 ali zbog nedostatka radnika tijekom tekućeg razdoblja i skupljenih slobodnih sati odlučili su se na isplatu prekovremenog rada što je evidentirano na navedenoj poziciji. </w:t>
      </w:r>
    </w:p>
    <w:p/>
    <w:p>
      <w:pPr>
        <w:jc w:val="center"/>
        <w:pStyle w:val="Normal"/>
        <w:spacing w:line="240" w:lineRule="auto"/>
        <w:keepNext/>
      </w:pPr>
      <w:r>
        <w:rPr>
          <w:sz w:val="28"/>
          <w:rFonts w:ascii="Times New Roman" w:hAnsi="Times New Roman"/>
        </w:rPr>
        <w:t>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rashodi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18.376,19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29.907,21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162,7</w:t>
            </w:r>
          </w:p>
        </w:tc>
      </w:tr>
    </w:tbl>
    <w:p>
      <w:pPr>
        <w:spacing w:before="0" w:after="0"/>
      </w:pPr>
    </w:p>
    <w:p>
      <w:pPr>
        <w:jc w:val="both"/>
        <w:pStyle w:val="Normal"/>
        <w:spacing w:line="240" w:lineRule="auto"/>
      </w:pPr>
      <w:r>
        <w:rPr>
          <w:sz w:val="24"/>
          <w:rFonts w:ascii="Times New Roman" w:hAnsi="Times New Roman"/>
        </w:rPr>
        <w:t>U odnosu na prethodno razdoblje isplaćena je otpremnina za odlazak djelatnice u mirovinu, nominalno se povećao iznos isplaćenih naknada za neiskorišteni godišnji odmor i pomoći zbog dugotrajnog bolovanja. Također su isplaćene i potpore za novorođenče te potpore za smrt člana uže obitelji.</w:t>
      </w:r>
    </w:p>
    <w:p/>
    <w:p>
      <w:pPr>
        <w:jc w:val="center"/>
        <w:pStyle w:val="Normal"/>
        <w:spacing w:line="240" w:lineRule="auto"/>
        <w:keepNext/>
      </w:pPr>
      <w:r>
        <w:rPr>
          <w:sz w:val="28"/>
          <w:rFonts w:ascii="Times New Roman" w:hAnsi="Times New Roman"/>
        </w:rPr>
        <w:t>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Stručno usavršavanje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904,75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754,0</w:t>
            </w:r>
          </w:p>
        </w:tc>
      </w:tr>
    </w:tbl>
    <w:p>
      <w:pPr>
        <w:spacing w:before="0" w:after="0"/>
      </w:pPr>
    </w:p>
    <w:p>
      <w:pPr>
        <w:jc w:val="both"/>
        <w:pStyle w:val="Normal"/>
        <w:spacing w:line="240" w:lineRule="auto"/>
      </w:pPr>
      <w:r>
        <w:rPr>
          <w:sz w:val="24"/>
          <w:rFonts w:ascii="Times New Roman" w:hAnsi="Times New Roman"/>
        </w:rPr>
        <w:t>Znatno povećanje rashoda za stručno usavršavanje zaposlenika rezultat je evidentiranja računa Društva energetičara Split za pripremni tečaj za polaganje prvog stručnog ispita sukladno programu Ministarstva gospodarstva za energetsko zvanje "Rukovatelj centralnog grijanja" s potrebnom literaturom za našeg djelatnika - kućnog majstora Juru Batinovića što je uvijet za obavljanje navedenog posla. Navedeni trošak tečaja iznosi 498,75 EUR.</w:t>
      </w:r>
    </w:p>
    <w:p/>
    <w:p>
      <w:pPr>
        <w:jc w:val="center"/>
        <w:pStyle w:val="Normal"/>
        <w:spacing w:line="240" w:lineRule="auto"/>
        <w:keepNext/>
      </w:pPr>
      <w:r>
        <w:rPr>
          <w:sz w:val="28"/>
          <w:rFonts w:ascii="Times New Roman" w:hAnsi="Times New Roman"/>
        </w:rPr>
        <w:t>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dijelovi za tekuće i investicijsko održavanje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1.043,16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2.023,65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194,0</w:t>
            </w:r>
          </w:p>
        </w:tc>
      </w:tr>
    </w:tbl>
    <w:p>
      <w:pPr>
        <w:spacing w:before="0" w:after="0"/>
      </w:pPr>
    </w:p>
    <w:p>
      <w:pPr>
        <w:jc w:val="both"/>
        <w:pStyle w:val="Normal"/>
        <w:spacing w:line="240" w:lineRule="auto"/>
      </w:pPr>
      <w:r>
        <w:rPr>
          <w:sz w:val="24"/>
          <w:rFonts w:ascii="Times New Roman" w:hAnsi="Times New Roman"/>
        </w:rPr>
        <w:t>Zaposlenjem novog kućnog majstora povećali su se rashodi za materijal za tekuće i investicijsko održavanje jer određene popravke i radove ustanova može samostalno obavljati.</w:t>
      </w:r>
    </w:p>
    <w:p/>
    <w:p>
      <w:pPr>
        <w:jc w:val="center"/>
        <w:pStyle w:val="Normal"/>
        <w:spacing w:line="240" w:lineRule="auto"/>
        <w:keepNext/>
      </w:pPr>
      <w:r>
        <w:rPr>
          <w:sz w:val="28"/>
          <w:rFonts w:ascii="Times New Roman" w:hAnsi="Times New Roman"/>
        </w:rPr>
        <w:t>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radna i zaštitna odjeća i obuća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1.271,07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691,82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54,4</w:t>
            </w:r>
          </w:p>
        </w:tc>
      </w:tr>
    </w:tbl>
    <w:p>
      <w:pPr>
        <w:spacing w:before="0" w:after="0"/>
      </w:pPr>
    </w:p>
    <w:p>
      <w:pPr>
        <w:jc w:val="both"/>
        <w:pStyle w:val="Normal"/>
        <w:spacing w:line="240" w:lineRule="auto"/>
      </w:pPr>
      <w:r>
        <w:rPr>
          <w:sz w:val="24"/>
          <w:rFonts w:ascii="Times New Roman" w:hAnsi="Times New Roman"/>
        </w:rPr>
        <w:t>Nabava službene odjeće i obuće u našoj ustanovi provodi se sukladno Proceduri korištenja, čuvanja i zamjene službene radne odjeće i obuće. Ona se nabavlja u vremenskim okvirima i količini predviđenoj navedenom proceduroma (svako 1 ili 2 godine). Budući da se u prethodnom razdoblju radnicima nabavila nova radna odjeća i obuća, to će se u narednom razdoblju i sukladno dinamici predviđenoj Procedurom te zahtjevima radnika ona nastaviti nabavljati.</w:t>
      </w:r>
    </w:p>
    <w:p/>
    <w:p>
      <w:pPr>
        <w:jc w:val="center"/>
        <w:pStyle w:val="Normal"/>
        <w:spacing w:line="240" w:lineRule="auto"/>
        <w:keepNext/>
      </w:pPr>
      <w:r>
        <w:rPr>
          <w:sz w:val="28"/>
          <w:rFonts w:ascii="Times New Roman" w:hAnsi="Times New Roman"/>
        </w:rPr>
        <w:t>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16.349,60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9.177,38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56,1</w:t>
            </w:r>
          </w:p>
        </w:tc>
      </w:tr>
    </w:tbl>
    <w:p>
      <w:pPr>
        <w:spacing w:before="0" w:after="0"/>
      </w:pPr>
    </w:p>
    <w:p>
      <w:pPr>
        <w:jc w:val="both"/>
        <w:pStyle w:val="Normal"/>
        <w:spacing w:line="240" w:lineRule="auto"/>
      </w:pPr>
      <w:r>
        <w:rPr>
          <w:sz w:val="24"/>
          <w:rFonts w:ascii="Times New Roman" w:hAnsi="Times New Roman"/>
        </w:rPr>
        <w:t>Na smanjenje rashoda za uslugea tekućeg i investicijskog održavanja utjecala je zamjena dotrajale opreme i manjeg broja prijavljenih kvarova. Kako je ustanova putem hitnih intervencija nabavila novu perilicu i sušilicu rublja te prošle godine i konvektomat za kuhinju koji se često kvario, smanjili su se rashodi za navedene usluge.</w:t>
      </w:r>
    </w:p>
    <w:p/>
    <w:p>
      <w:pPr>
        <w:jc w:val="center"/>
        <w:pStyle w:val="Normal"/>
        <w:spacing w:line="240" w:lineRule="auto"/>
        <w:keepNext/>
      </w:pPr>
      <w:r>
        <w:rPr>
          <w:sz w:val="28"/>
          <w:rFonts w:ascii="Times New Roman" w:hAnsi="Times New Roman"/>
        </w:rPr>
        <w:t>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8.366,36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10.538,93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126,0</w:t>
            </w:r>
          </w:p>
        </w:tc>
      </w:tr>
    </w:tbl>
    <w:p>
      <w:pPr>
        <w:spacing w:before="0" w:after="0"/>
      </w:pPr>
    </w:p>
    <w:p>
      <w:pPr>
        <w:jc w:val="both"/>
        <w:pStyle w:val="Normal"/>
        <w:spacing w:line="240" w:lineRule="auto"/>
      </w:pPr>
      <w:r>
        <w:rPr>
          <w:sz w:val="24"/>
          <w:rFonts w:ascii="Times New Roman" w:hAnsi="Times New Roman"/>
        </w:rPr>
        <w:t>U svibnju 2025. godine ustanova je angažirala firmu CIAN d.o.o. koja je izvršila ispitivanje i mjerenje debljine stjenke spremišta lož ulja (korometrijsko ispitivanje) te čišćenje spremnika lož ulja kapaciteta 10.000 litara o čemu je napravljeno detaljno izvješće. Za navedenu uslugu isplaćeno je ukupno 2.975,00 EUR. Navedeni rashod nije bio u prethodom razdoblju te je došlo do povećanja indeksa.</w:t>
      </w:r>
    </w:p>
    <w:p/>
    <w:p>
      <w:pPr>
        <w:jc w:val="center"/>
        <w:pStyle w:val="Normal"/>
        <w:spacing w:line="240" w:lineRule="auto"/>
        <w:keepNext/>
      </w:pPr>
      <w:r>
        <w:rPr>
          <w:sz w:val="28"/>
          <w:rFonts w:ascii="Times New Roman" w:hAnsi="Times New Roman"/>
        </w:rPr>
        <w:t>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Računalne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419,54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3.114,69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742,4</w:t>
            </w:r>
          </w:p>
        </w:tc>
      </w:tr>
    </w:tbl>
    <w:p>
      <w:pPr>
        <w:spacing w:before="0" w:after="0"/>
      </w:pPr>
    </w:p>
    <w:p>
      <w:pPr>
        <w:jc w:val="both"/>
        <w:pStyle w:val="Normal"/>
        <w:spacing w:line="240" w:lineRule="auto"/>
      </w:pPr>
      <w:r>
        <w:rPr>
          <w:sz w:val="24"/>
          <w:rFonts w:ascii="Times New Roman" w:hAnsi="Times New Roman"/>
        </w:rPr>
        <w:t>Na znatno povećanje rashoda za računalne usluge utjecao je trošak izrade nove web stranice. Naime, postojeća web stranica na domeni https://centarjosipovac.hr/ je bila zaražena „programskim virusom“ te se problem nije mogao riješiti bez izrade potpuno nove web stranice ustanove za čiji trošak izrade je izdvojeno 1.600 EUR te je s obrtom KJARO dizajn studio Dubrovnik koji je izradio novu web stranicu potpisan i ugovor dana 01.05.2025. godine o njenom mjesečno održavanju u vrijednosti od 120 EUR. Također, računalo voditeljice računovodstva se u potpunosti pokvarilo te je bilo potrebno sačuvati i prenijeti financijske podatke ustanove te konfigurirati novo računalo primljeno od nadležnog Ministarstva. Za navedene usluge ustanova je izdvojila 575 EUR. Sve navedeno je dovelo do znatnog povećanja rashoda za računalne usluge.</w:t>
      </w:r>
    </w:p>
    <w:p/>
    <w:p>
      <w:pPr>
        <w:jc w:val="center"/>
        <w:pStyle w:val="Normal"/>
        <w:spacing w:line="240" w:lineRule="auto"/>
        <w:keepNext/>
      </w:pPr>
      <w:r>
        <w:rPr>
          <w:sz w:val="28"/>
          <w:rFonts w:ascii="Times New Roman" w:hAnsi="Times New Roman"/>
        </w:rPr>
        <w:t>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Premije osiguranja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1.183,53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837,93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70,8</w:t>
            </w:r>
          </w:p>
        </w:tc>
      </w:tr>
    </w:tbl>
    <w:p>
      <w:pPr>
        <w:spacing w:before="0" w:after="0"/>
      </w:pPr>
    </w:p>
    <w:p>
      <w:pPr>
        <w:jc w:val="both"/>
        <w:pStyle w:val="Normal"/>
        <w:spacing w:line="240" w:lineRule="auto"/>
      </w:pPr>
      <w:r>
        <w:rPr>
          <w:sz w:val="24"/>
          <w:rFonts w:ascii="Times New Roman" w:hAnsi="Times New Roman"/>
        </w:rPr>
        <w:t>Na navedenoj poziciji evidentirani su rashodi premija osiguranja za službena vozila naše ustanove. Tijekom 2025. godine vozilo Citroen Berlingo nije kasko osiguran što je dovelo do smanjenja indeksa u odnosu na prethodno razdoblje.</w:t>
      </w:r>
    </w:p>
    <w:p/>
    <w:p>
      <w:pPr>
        <w:jc w:val="center"/>
        <w:pStyle w:val="Normal"/>
        <w:spacing w:line="240" w:lineRule="auto"/>
        <w:keepNext/>
      </w:pPr>
      <w:r>
        <w:rPr>
          <w:sz w:val="28"/>
          <w:rFonts w:ascii="Times New Roman" w:hAnsi="Times New Roman"/>
        </w:rPr>
        <w:t>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Članarine i norme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137,0</w:t>
            </w:r>
          </w:p>
        </w:tc>
      </w:tr>
    </w:tbl>
    <w:p>
      <w:pPr>
        <w:spacing w:before="0" w:after="0"/>
      </w:pPr>
    </w:p>
    <w:p>
      <w:pPr>
        <w:jc w:val="both"/>
        <w:pStyle w:val="Normal"/>
        <w:spacing w:line="240" w:lineRule="auto"/>
      </w:pPr>
      <w:r>
        <w:rPr>
          <w:sz w:val="24"/>
          <w:rFonts w:ascii="Times New Roman" w:hAnsi="Times New Roman"/>
        </w:rPr>
        <w:t>Jedinu članarinu koju naša ustanova plaća je članarina za Specijalnu olimpijadu Hrvatske kako bi naši korisnici mogli sudjelovati na različitim natjecanjima osoba s invaliditetom. U 2025. godini članarina je poskupjela i iznosi 200,00 EUR te je došlo do povećanja indeksa na navedenoj poziciji.</w:t>
      </w:r>
    </w:p>
    <w:p/>
    <w:p>
      <w:pPr>
        <w:jc w:val="center"/>
        <w:pStyle w:val="Normal"/>
        <w:spacing w:line="240" w:lineRule="auto"/>
        <w:keepNext/>
      </w:pPr>
      <w:r>
        <w:rPr>
          <w:sz w:val="28"/>
          <w:rFonts w:ascii="Times New Roman" w:hAnsi="Times New Roman"/>
        </w:rPr>
        <w:t>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Bankarske usluge i usluge platnog prometa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401,69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533,28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132,8</w:t>
            </w:r>
          </w:p>
        </w:tc>
      </w:tr>
    </w:tbl>
    <w:p>
      <w:pPr>
        <w:spacing w:before="0" w:after="0"/>
      </w:pPr>
    </w:p>
    <w:p>
      <w:pPr>
        <w:jc w:val="both"/>
        <w:pStyle w:val="Normal"/>
        <w:spacing w:line="240" w:lineRule="auto"/>
      </w:pPr>
      <w:r>
        <w:rPr>
          <w:sz w:val="24"/>
          <w:rFonts w:ascii="Times New Roman" w:hAnsi="Times New Roman"/>
        </w:rPr>
        <w:t>Povećanje cijene usluga platnog prometa dovelo je do povećanja rashoda za bankarske usluge i usluge platnog prometa.</w:t>
      </w:r>
    </w:p>
    <w:p/>
    <w:p>
      <w:pPr>
        <w:jc w:val="center"/>
        <w:pStyle w:val="Normal"/>
        <w:spacing w:line="240" w:lineRule="auto"/>
        <w:keepNext/>
      </w:pPr>
      <w:r>
        <w:rPr>
          <w:sz w:val="28"/>
          <w:rFonts w:ascii="Times New Roman" w:hAnsi="Times New Roman"/>
        </w:rPr>
        <w:t>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Zatezne kamate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30,2</w:t>
            </w:r>
          </w:p>
        </w:tc>
      </w:tr>
    </w:tbl>
    <w:p>
      <w:pPr>
        <w:spacing w:before="0" w:after="0"/>
      </w:pPr>
    </w:p>
    <w:p>
      <w:pPr>
        <w:jc w:val="both"/>
        <w:pStyle w:val="Normal"/>
        <w:spacing w:line="240" w:lineRule="auto"/>
      </w:pPr>
      <w:r>
        <w:rPr>
          <w:sz w:val="24"/>
          <w:rFonts w:ascii="Times New Roman" w:hAnsi="Times New Roman"/>
        </w:rPr>
        <w:t>Ustanova redovito podmiruje obveze te je došlo do smanjenja rashoda za zatezne kamate.</w:t>
      </w:r>
    </w:p>
    <w:p/>
    <w:p>
      <w:pPr>
        <w:jc w:val="center"/>
        <w:pStyle w:val="Normal"/>
        <w:spacing w:line="240" w:lineRule="auto"/>
        <w:keepNext/>
      </w:pPr>
      <w:r>
        <w:rPr>
          <w:sz w:val="28"/>
          <w:rFonts w:ascii="Times New Roman" w:hAnsi="Times New Roman"/>
        </w:rPr>
        <w:t>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u naravi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2.943,93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4.054,82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137,7</w:t>
            </w:r>
          </w:p>
        </w:tc>
      </w:tr>
    </w:tbl>
    <w:p>
      <w:pPr>
        <w:spacing w:before="0" w:after="0"/>
      </w:pPr>
    </w:p>
    <w:p>
      <w:pPr>
        <w:jc w:val="both"/>
        <w:pStyle w:val="Normal"/>
        <w:spacing w:line="240" w:lineRule="auto"/>
      </w:pPr>
      <w:r>
        <w:rPr>
          <w:sz w:val="24"/>
          <w:rFonts w:ascii="Times New Roman" w:hAnsi="Times New Roman"/>
        </w:rPr>
        <w:t>Tijekom izvještajnog razdoblja naši korisnici su sudjelovali na dva natjecanja - Delnice (05.02.-07.02.25.) gdje se održavalo Državno prvenstvo u trčanju na krpljama te Zagreb (07.04.25.-09.04.25.) gdje se održavalo Državno prvenstvo u bowlingu te je isplaćeno i 900 EUR ostalih socijalnih pomoći za pokriće njihovih potreba na predmetnim natjecanjima. Također su bili na manjem izletu u Ston s ciljem upoznavanja Dubrovačko-neretvanske županije za koji je izdvojen iznos od 719,46 EUR. Povećanje cijene usluga smještaja i prehrane te odlazak na izlet u Ston uzrokovali su povećanje predmetnog indeksa.</w:t>
      </w:r>
    </w:p>
    <w:p/>
    <w:p>
      <w:pPr>
        <w:jc w:val="center"/>
        <w:pStyle w:val="Normal"/>
        <w:spacing w:line="240" w:lineRule="auto"/>
        <w:keepNext/>
      </w:pPr>
      <w:r>
        <w:rPr>
          <w:sz w:val="28"/>
          <w:rFonts w:ascii="Times New Roman" w:hAnsi="Times New Roman"/>
        </w:rPr>
        <w:t>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 nenaplaćeni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1.061,36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6.383,18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601,4</w:t>
            </w:r>
          </w:p>
        </w:tc>
      </w:tr>
    </w:tbl>
    <w:p>
      <w:pPr>
        <w:spacing w:before="0" w:after="0"/>
      </w:pPr>
    </w:p>
    <w:p>
      <w:pPr>
        <w:jc w:val="both"/>
        <w:pStyle w:val="Normal"/>
        <w:spacing w:line="240" w:lineRule="auto"/>
      </w:pPr>
      <w:r>
        <w:rPr>
          <w:sz w:val="24"/>
          <w:rFonts w:ascii="Times New Roman" w:hAnsi="Times New Roman"/>
        </w:rPr>
        <w:t>Na navedenoj poziciji prikazana su obračunati prihodi od opskrbnina i participacija za korisnike koji sudjeluju svojim prihodima u podmirenju cijene usluge smještaja i boravka zaključno s danom 30.09.2025. godine. </w:t>
      </w:r>
    </w:p>
    <w:p/>
    <w:p>
      <w:pPr>
        <w:jc w:val="center"/>
        <w:pStyle w:val="Normal"/>
        <w:spacing w:line="240" w:lineRule="auto"/>
        <w:keepNext/>
      </w:pPr>
      <w:r>
        <w:rPr>
          <w:sz w:val="28"/>
          <w:rFonts w:ascii="Times New Roman" w:hAnsi="Times New Roman"/>
        </w:rPr>
        <w:t>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23.470,24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14.528,39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61,9</w:t>
            </w:r>
          </w:p>
        </w:tc>
      </w:tr>
    </w:tbl>
    <w:p>
      <w:pPr>
        <w:spacing w:before="0" w:after="0"/>
      </w:pPr>
    </w:p>
    <w:p>
      <w:pPr>
        <w:jc w:val="both"/>
        <w:pStyle w:val="Normal"/>
        <w:spacing w:line="240" w:lineRule="auto"/>
      </w:pPr>
      <w:r>
        <w:rPr>
          <w:sz w:val="24"/>
          <w:rFonts w:ascii="Times New Roman" w:hAnsi="Times New Roman"/>
        </w:rPr>
        <w:t>Tijekom izvještajnog razdoblja ustanova je iz sredstava donacija kupila medicinsku opremu za naše korisnike (kombinirani uređaj za elektroterapiju i UZV s vakumskom jedinicom s kolicima) u vrijednosti od 5.546,25 EUR. Također je kupljen štapni mikser za hranu u ukupnoj vrijednosti od 687,50 EUR za korisnike koji mogu jesti samo miksanu hranu, viseća kuglana u vrijednosti od 550 EUR te je primljena donacija u naturi od Dominikanskog samostana Dubrovnik – traka za trčanje procijenjene vrijednosti nabave u visini od 1.500,00 EUR.
U prethodnom izvještajnom razdoblju ulaganja su bila znatno veća - kupljena su 2 klima uređaja, lifter za podizanje korisnika, motorna kosilica te je dovršena čelična konstrukcija za vanjsko dvorište pored restorana. Napravljena je i invalidska rampa za vanjsko dvorište pored restorana te je uveden vanjski video nadzor.</w:t>
      </w:r>
    </w:p>
    <w:p/>
    <w:p>
      <w:pPr>
        <w:jc w:val="center"/>
        <w:pStyle w:val="Normal"/>
        <w:spacing w:line="240" w:lineRule="auto"/>
        <w:keepNext/>
      </w:pPr>
      <w:r>
        <w:rPr>
          <w:sz w:val="28"/>
          <w:rFonts w:ascii="Times New Roman" w:hAnsi="Times New Roman"/>
        </w:rPr>
        <w:t>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Uređaji, strojevi i oprema za ostale namjene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11.951,25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pPr>
        <w:jc w:val="both"/>
        <w:pStyle w:val="Normal"/>
        <w:spacing w:line="240" w:lineRule="auto"/>
      </w:pPr>
      <w:r>
        <w:rPr>
          <w:sz w:val="24"/>
          <w:rFonts w:ascii="Times New Roman" w:hAnsi="Times New Roman"/>
        </w:rPr>
        <w:t>Prethodne godine je putem sredstava hitnih intervencija nadležnog Ministarstva kupljen novi konvektomat za kuhinju koji je zbog čestih kvarova i dotrajalosti  zamijenjen novim uređajem. </w:t>
      </w:r>
    </w:p>
    <w:p/>
    <w:p>
      <w:pPr>
        <w:jc w:val="center"/>
        <w:pStyle w:val="Normal"/>
        <w:spacing w:line="240" w:lineRule="auto"/>
        <w:keepNext/>
      </w:pPr>
      <w:r>
        <w:rPr>
          <w:sz w:val="28"/>
          <w:rFonts w:ascii="Times New Roman" w:hAnsi="Times New Roman"/>
        </w:rPr>
        <w:t>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PRIHODI I PRIMICI (šifre X067+8)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X678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914.097,92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968.063,94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105,9</w:t>
            </w:r>
          </w:p>
        </w:tc>
      </w:tr>
    </w:tbl>
    <w:p>
      <w:pPr>
        <w:spacing w:before="0" w:after="0"/>
      </w:pPr>
    </w:p>
    <w:p>
      <w:pPr>
        <w:jc w:val="both"/>
        <w:pStyle w:val="Normal"/>
        <w:spacing w:line="240" w:lineRule="auto"/>
      </w:pPr>
      <w:r>
        <w:rPr>
          <w:sz w:val="24"/>
          <w:rFonts w:ascii="Times New Roman" w:hAnsi="Times New Roman"/>
        </w:rPr>
        <w:t>Najznačajnije povećanje prihoda poslovanja ostvareno je od "Tekućih pomoći proračunskim korisnicima iz proračuna koji im nije nadležan" (pozicija 6361) - pomoći koje naša ustanova prima od jedinica lokalne uprave i samouprave za financiranje dva projekta - "Zaposlenjem do kvalitetnije skrbi" i "Korak uz korak". U tekućem izvještajnom razdoblju primljene su znatno veće pomoći od Dubrovačko-neretvanske županije u odnosu na prethodno izvještajno razdoblje (prethodne godine primljeno je 5.300 EUR pomoći dok je u tekućoj godini primljeno 9.394,98 EUR).
Povećani su i "Prihodi iz nadležnog proračuna za financiranje rashoda poslovanja" (pozicija 6711) kojima se financiraju redovne plaće zaposlenika i tekući rashodi što je uzrok povećanja osnovice za obračun plaće zaposlenika u javnim službama kao i rast troškova poslovanja. </w:t>
      </w:r>
    </w:p>
    <w:p/>
    <w:p>
      <w:pPr>
        <w:jc w:val="center"/>
        <w:pStyle w:val="Normal"/>
        <w:spacing w:line="240" w:lineRule="auto"/>
        <w:keepNext/>
      </w:pPr>
      <w:r>
        <w:rPr>
          <w:sz w:val="28"/>
          <w:rFonts w:ascii="Times New Roman" w:hAnsi="Times New Roman"/>
        </w:rPr>
        <w:t>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RASHODI I IZDACI (šifre Y034+5)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Y345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877.599,23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1.041.701,95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118,7</w:t>
            </w:r>
          </w:p>
        </w:tc>
      </w:tr>
    </w:tbl>
    <w:p>
      <w:pPr>
        <w:spacing w:before="0" w:after="0"/>
      </w:pPr>
    </w:p>
    <w:p>
      <w:pPr>
        <w:jc w:val="both"/>
        <w:pStyle w:val="Normal"/>
        <w:spacing w:line="240" w:lineRule="auto"/>
      </w:pPr>
      <w:r>
        <w:rPr>
          <w:sz w:val="24"/>
          <w:rFonts w:ascii="Times New Roman" w:hAnsi="Times New Roman"/>
        </w:rPr>
        <w:t>Na rast rashoda najviše je utjecalo povećanje osnovice za obračun plaća zaposlenika u javnim službama kao i opće povećanje cijena materijala, energije i usluga. Također je vidljiv i utjecaj promjene zakonske regulative evidentiranja rashoda u odnosu na prethodnu godinu (od 1.1.2025. godine je u primjeni „novi“ Pravilnik o proračunskom računovodstvu i računskom planu) kojim se „kontinuirani rashodi“ više ne evidentiraju na računu 19 već na računima 3 – rashodi poslovanja.</w:t>
      </w:r>
    </w:p>
    <w:p/>
    <w:p>
      <w:pPr>
        <w:jc w:val="center"/>
        <w:pStyle w:val="Normal"/>
        <w:spacing w:line="240" w:lineRule="auto"/>
        <w:keepNext/>
      </w:pPr>
      <w:r>
        <w:rPr>
          <w:sz w:val="28"/>
          <w:rFonts w:ascii="Times New Roman" w:hAnsi="Times New Roman"/>
        </w:rPr>
        <w:t>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73.638,01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Style w:val="Normal"/>
        <w:spacing w:line="240" w:lineRule="auto"/>
      </w:pPr>
      <w:r>
        <w:rPr>
          <w:sz w:val="24"/>
          <w:rFonts w:ascii="Times New Roman" w:hAnsi="Times New Roman"/>
        </w:rPr>
        <w:t>U razdoblju od 1. siječnja do 30. rujna 2025. godine ostvaren je manjak prihoda poslovanja od 59.109,62 EUR, manjak prihoda od nefinancijske imovine u iznosu od 14.528,39 EUR, slijedom čega je na kraju izvještajnog razdoblja ostvaren ukupan manjak prihoda i primitaka u iznosu od 73.638,01 EUR.</w:t>
      </w:r>
    </w:p>
    <w:p/>
    <w:p>
      <w:pPr>
        <w:jc w:val="center"/>
        <w:pStyle w:val="Normal"/>
        <w:spacing w:line="240" w:lineRule="auto"/>
        <w:keepNext/>
      </w:pPr>
      <w:r>
        <w:rPr>
          <w:sz w:val="28"/>
          <w:rFonts w:ascii="Times New Roman" w:hAnsi="Times New Roman"/>
        </w:rPr>
        <w:t>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9221-9222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i primitaka - preneseni (šifre '9221x,9222x VP' - '9221x,9222x MP' + 92213 - 92223)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9221-9222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65.875,38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120.898,41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183,5</w:t>
            </w:r>
          </w:p>
        </w:tc>
      </w:tr>
    </w:tbl>
    <w:p>
      <w:pPr>
        <w:spacing w:before="0" w:after="0"/>
      </w:pPr>
    </w:p>
    <w:p>
      <w:pPr>
        <w:jc w:val="both"/>
        <w:pStyle w:val="Normal"/>
        <w:spacing w:line="240" w:lineRule="auto"/>
      </w:pPr>
      <w:r>
        <w:rPr>
          <w:sz w:val="24"/>
          <w:rFonts w:ascii="Times New Roman" w:hAnsi="Times New Roman"/>
        </w:rPr>
        <w:t>Stanje viška prihoda poslovanja na dan 31.12.2024. godine iz obrasca PR-RAS, a koji je prenesen u 2025. godinu iznosio je 133.453,66 EUR.   Za razliku od prethodnog izvještajnog razdoblje, u prenesenom višku je evidentirana primljena pomoć od Grada Dubrovnika u visini od 33.000,00 EUR  za izradu glavnog projekta s troškovnikom za uređenje potkrovlja te 10.402,98 EUR prenijete pomoći za financiranje plaće pripravnice putem mjera za pripravništvo Hrvatskog zavoda za zapošljavanje.  Zbog nemogućnosti pronalaska djelatnika za cjelogodišnji rad na određeno vrijeme u sklopu projekata „Zaposlenjem do kvalitetnije skrbi“ (njegovatelj) i „Korak uz korak“ (pratitelj na 3 sata dnevno), tijekom 2024. godine nisu se uspjele iskoristiti sve primljene pomoći za navedene projekte. Zbog navedenog je u siječnju 2025. godine na teret prenesenog viška izvršen povrat:
- primljenih pomoći u ukupnoj visini od 7.126,50 EUR Gradu Dubrovniku 
- primljenih pomoći u visini od 5.300 EUR Županiji dubrovačko-neretvanskoj 
- primljenih pomoći u visini od 100,43 EUR Hrvatskom zavodu za zapošljavanje (neutrošena sredstava za prijevoz pripravnice)
- prijenos uplaćene participacije/opskrbnine na obveze za povrat u proračun u visini od 28,32 EUR .  
Sažetak: 
Preneseni višak 31.12.2024. godine:              133.453,66 EUR 
Ukupno izvršeni povrati u 2025. godini:     -   12.555,25 EUR 
Preneseni višak 2025. godina:                        = 120.898,41 EUR</w:t>
      </w:r>
    </w:p>
    <w:p/>
    <w:p>
      <w:pPr>
        <w:jc w:val="center"/>
        <w:pStyle w:val="Normal"/>
        <w:spacing w:line="240" w:lineRule="auto"/>
        <w:keepNext/>
      </w:pPr>
      <w:r>
        <w:rPr>
          <w:sz w:val="28"/>
          <w:rFonts w:ascii="Times New Roman" w:hAnsi="Times New Roman"/>
        </w:rPr>
        <w:t>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i primitaka raspoloživ u sljedećem razdoblju (šifre X005 + '9221-9222' - Y005 - '9222-9221')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102.374,07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47.260,40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46,2</w:t>
            </w:r>
          </w:p>
        </w:tc>
      </w:tr>
    </w:tbl>
    <w:p>
      <w:pPr>
        <w:spacing w:before="0" w:after="0"/>
      </w:pPr>
    </w:p>
    <w:p>
      <w:pPr>
        <w:jc w:val="both"/>
        <w:pStyle w:val="Normal"/>
        <w:spacing w:line="240" w:lineRule="auto"/>
      </w:pPr>
      <w:r>
        <w:rPr>
          <w:sz w:val="24"/>
          <w:rFonts w:ascii="Times New Roman" w:hAnsi="Times New Roman"/>
        </w:rPr>
        <w:t>U razdoblju od 1. siječnja do 30. rujna 2025. godine ostvaren je manjak prihoda poslovanja od 59.109,62 EUR i manjak prihoda od nefinancijske imovine u iznosu od 14.528,39 EUR, slijedom čega je na kraju izvještajnog razdoblja ostvaren ukupan manjak prihoda i primitaka u iznosu od 73.638,01 EUR.
Preneseni višak iz prethodne godine iznosi 120.898,41 EUR te višak prihoda poslovanja raspoloživ u sljedećem razdoblju iznosi 47.260,40 EUR.
Na navedeno smanjenje viška prihoda poslovanja raspoloživog u sljedećem razdoblju vidljiv je znatan utjecaj promjene zakonske regulative evidentiranja rashoda u odnosu na prethodnu godinu (od 1.1.2025. godine je u primjeni „novi“ Pravilnik o proračunskom računovodstvu i računskom planu) kojim se „kontinuirani rashodi“ više ne evidentiraju na računu 19 već na računima 3 – rashodi poslovanja. Za navedene kontinuirane rashode (plaće za 09/25, komunalije i dr.) prihodi će biti uplaćeni u narednom razdoblju.</w:t>
      </w:r>
    </w:p>
    <w:p/>
    <w:p>
      <w:pPr>
        <w:jc w:val="center"/>
        <w:pStyle w:val="Normal"/>
        <w:spacing w:line="240" w:lineRule="auto"/>
        <w:keepNext/>
      </w:pPr>
      <w:r>
        <w:rPr>
          <w:sz w:val="28"/>
          <w:rFonts w:ascii="Times New Roman" w:hAnsi="Times New Roman"/>
        </w:rPr>
        <w:t>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budućih razdoblja i nedospjela naplata prihoda (aktivna vremenska razgraničenja)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68.231,49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pPr>
        <w:jc w:val="both"/>
        <w:pStyle w:val="Normal"/>
        <w:spacing w:line="240" w:lineRule="auto"/>
      </w:pPr>
      <w:r>
        <w:rPr>
          <w:sz w:val="24"/>
          <w:rFonts w:ascii="Times New Roman" w:hAnsi="Times New Roman"/>
        </w:rPr>
        <w:t>Od 1.1.2025. godine u primjeni je novi „Pravilnik o proračunskom računovodstvu i računskom planu“ (NN 158/23 i 154/24) kojim su se izmijenili, nadopunili ili ukinuli određeni računi iz računskog plana, izmijenile i nadopunile odredbe Pravilnika te uspostavili i nove sheme knjiženja. Zbog navedenog se u odnosu na prethodno izvještajno razdoblje ne evidentiraju kontinuirani rashodi poslovanja (plaće, komunalije i sl.) na računu 193 već se navedeni rashodi knjiže na odgovarajućim računima razreda 3 (rashodi poslovanja) primjenjujući modificirano računovodstveno načelo nastanka događaja što dovodi do povećanja rashoda na predmetnim pozicijama. Tako je u odnosu na prethodno izvještajno razdoblje npr. evidentirana plaća za rujan 2025. godine na pozicijama rashoda (razred 3) u ukupnoj visini od 71.117,16 EUR (s uključenom naknadom za prijevoz djelatnika na posao i s posla - Izvor financiranja: 11) za koju će ustanova primiti prihod tek u mjesecu listopadu ’25. godine dok je prethodne godine u istom izvještajnom razdoblju navedena plaća bila evidentirana na pozicijama 193 i nije bila uključena u rashod.</w:t>
      </w:r>
    </w:p>
    <w:p/>
    <w:p>
      <w:pPr>
        <w:jc w:val="center"/>
        <w:pStyle w:val="Normal"/>
        <w:spacing w:line="240" w:lineRule="auto"/>
        <w:keepNext/>
      </w:pPr>
      <w:r>
        <w:rPr>
          <w:b/>
          <w:sz w:val="28"/>
          <w:rFonts w:ascii="Times New Roman" w:hAnsi="Times New Roman"/>
        </w:rPr>
        <w:t>Izvještaj o obvezama</w:t>
      </w:r>
    </w:p>
    <w:p>
      <w:pPr>
        <w:jc w:val="center"/>
        <w:pStyle w:val="Normal"/>
        <w:spacing w:line="240" w:lineRule="auto"/>
        <w:keepNext/>
      </w:pPr>
      <w:r>
        <w:rPr>
          <w:sz w:val="28"/>
          <w:rFonts w:ascii="Times New Roman" w:hAnsi="Times New Roman"/>
        </w:rPr>
        <w:t>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Style w:val="Normal"/>
        <w:spacing w:line="240" w:lineRule="auto"/>
      </w:pPr>
      <w:r>
        <w:rPr>
          <w:sz w:val="24"/>
          <w:rFonts w:ascii="Times New Roman" w:hAnsi="Times New Roman"/>
        </w:rPr>
        <w:t>Dospjele obveze na dan 30.09.2025. godine iznose 60,06 EUR. Radi se o računu dobavljača Čistoća d.o.o. za odvoz komunalnog otpada te papira i kartonske ambalaže (KUF: 422/25, Zahtjev za plaćanje: 428/25).
Navedeni račun izdan je od strane Čistoće d.o.o. dana 15.09.2025. godine i zaprimljen putem servisa E-račun istog dana (15.09.2025. godine u 17:10:37) za obračunsko razdoblje mjeseca kolovoza '25. Rok dospijeća računa je 30.09.2025. godine.
Navedeni račun je zaprimljen izvan radnog vremena na dan 15.09.2025. godine, a koji je ujedno našoj ustanovi i zadnji dan za slanje računa na plaćanje nadležnom Ministarstvu putem baze PPI da bi račun bio plaćen do 30.09.2025. godine. Navedeni račun će biti plaćen prema dinamici plaćanja nadležnog Ministarstva u narednom razdoblju (do 15.10.2025. godine).</w:t>
      </w:r>
    </w:p>
    <w:p/>
    <w:p>
      <w:pPr>
        <w:jc w:val="center"/>
        <w:pStyle w:val="Normal"/>
        <w:spacing w:line="240" w:lineRule="auto"/>
        <w:keepNext/>
      </w:pPr>
      <w:r>
        <w:rPr>
          <w:sz w:val="28"/>
          <w:rFonts w:ascii="Times New Roman" w:hAnsi="Times New Roman"/>
        </w:rPr>
        <w:t>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Ukupno obveze za rashode poslovanja (šifre D231+D232+D234+D235+D236+D237+D 238+D239)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Style w:val="Normal"/>
        <w:spacing w:line="240" w:lineRule="auto"/>
      </w:pPr>
      <w:r>
        <w:rPr>
          <w:sz w:val="24"/>
          <w:rFonts w:ascii="Times New Roman" w:hAnsi="Times New Roman"/>
        </w:rPr>
        <w:t>Dospjele obveze na dan 30.09.2025. godine iznose 60,06 EUR. Radi se o računu dobavljača Čistoća d.o.o. za odvoz komunalnog otpada te papira i kartonske ambalaže (KUF: 422/25, Zahtjev za plaćanje: 428/25). Navedeni račun izdan je od strane Čistoće d.o.o. dana 15.09.2025. godine i zaprimljen putem servisa E-račun istog dana (15.09.2025. godine u 17:10:37) za obračunsko razdoblje mjeseca kolovoza '25. Rok dospijeća računa je 30.09.2025. godine. Navedeni račun je zaprimljen izvan radnog vremena na dan 15.09.2025. godine, a koji je ujedno našoj ustanovi i zadnji dan za slanje računa na plaćanje nadležnom Ministarstvu putem baze PPI da bi račun bio plaćen do 30.09.2025. godine. Navedeni račun će biti plaćen prema dinamici plaćanja nadležnog Ministarstva u narednom razdoblju (do 15.10.2025. godine).</w:t>
      </w:r>
    </w:p>
    <w:p/>
    <w:p>
      <w:pPr>
        <w:jc w:val="center"/>
        <w:pStyle w:val="Normal"/>
        <w:spacing w:line="240" w:lineRule="auto"/>
        <w:keepNext/>
      </w:pPr>
      <w:r>
        <w:rPr>
          <w:sz w:val="28"/>
          <w:rFonts w:ascii="Times New Roman" w:hAnsi="Times New Roman"/>
        </w:rPr>
        <w:t>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Međusobne obveze subjekata općeg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3.512,87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Style w:val="Normal"/>
        <w:spacing w:line="240" w:lineRule="auto"/>
      </w:pPr>
      <w:r>
        <w:rPr>
          <w:sz w:val="24"/>
          <w:rFonts w:ascii="Times New Roman" w:hAnsi="Times New Roman"/>
        </w:rPr>
        <w:t>Međusobne obveze subjekata općeg proračuna - nedospjele - u visini od 3.512,87 EUR sastoje se od:
- obveza za refundacije bolovanja na teret HZZO-a (bolovanja preko 42 dana) u visini od 3.509,25 EUR;
- obveze za povrat u proračun pasivnih kamata obračunatih od strane Hrvatske poštanske banke d.d. za razdoblje 1.7.-30.9.2025. u visini od 3,62 EUR.</w:t>
      </w:r>
    </w:p>
    <w:p/>
    <w:p>
      <w:pPr>
        <w:jc w:val="center"/>
        <w:pStyle w:val="Normal"/>
        <w:spacing w:line="240" w:lineRule="auto"/>
        <w:keepNext/>
      </w:pPr>
      <w:r>
        <w:rPr>
          <w:sz w:val="28"/>
          <w:rFonts w:ascii="Times New Roman" w:hAnsi="Times New Roman"/>
        </w:rPr>
        <w:t>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rashode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82.460,02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Style w:val="Normal"/>
        <w:spacing w:line="240" w:lineRule="auto"/>
      </w:pPr>
      <w:r>
        <w:rPr>
          <w:sz w:val="24"/>
          <w:rFonts w:ascii="Times New Roman" w:hAnsi="Times New Roman"/>
        </w:rPr>
        <w:t>Obveze za rashode poslovanja - nedospjele - u visini od 82.460,02 EUR sastoje se od:
- obveza za plaće za mjesec 09/25 (isplata u listopadu) u visini od 72.343,37 EUR;
- obveza za prijevoz na posao i s posla za mjesec 09/25 (isplata u listopadu) u visini od 1.719,70 EUR;
- nedospjeli računi dobavljača za materijal, energiju i usluge u visini od 8.173,00 EUR;
- obračunati ugovor o djelu za mjesec 09/25 dr. spec. Irene Primorac Bošnjak za obavljene stručne ambulantne usluge u visini od 223,95 EUR.</w:t>
      </w:r>
    </w:p>
    <w:p/>
    <w:p>
      <w:pPr>
        <w:jc w:val="center"/>
        <w:pStyle w:val="Normal"/>
        <w:spacing w:line="240" w:lineRule="auto"/>
        <w:keepNext/>
      </w:pPr>
      <w:r>
        <w:rPr>
          <w:sz w:val="28"/>
          <w:rFonts w:ascii="Times New Roman" w:hAnsi="Times New Roman"/>
        </w:rPr>
        <w:t>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predujmove, depozite, jamčevne pologe i tuđe prihode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4.801,07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pPr>
        <w:jc w:val="both"/>
        <w:pStyle w:val="Normal"/>
        <w:spacing w:line="240" w:lineRule="auto"/>
      </w:pPr>
      <w:r>
        <w:rPr>
          <w:sz w:val="24"/>
          <w:rFonts w:ascii="Times New Roman" w:hAnsi="Times New Roman"/>
        </w:rPr>
        <w:t>Obveze za predujmove - nedospjele - u visini od 4.801,07 EUR odnose se na više uplaćene participacije / opskrbnine koje su uplaćene od strane naših korisnika koji sudjeluju u podmirivanju troškova cijene usluge.</w:t>
      </w:r>
    </w:p>
    <w:p/>
  </w:body>
</w:document>
</file>

<file path=word/styles.xml><?xml version="1.0" encoding="utf-8"?>
<w:styles xmlns:w="http://schemas.openxmlformats.org/wordprocessingml/2006/main">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abca7ea2054f4583" /></Relationships>
</file>